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482E7" w14:textId="77777777" w:rsidR="00873D37" w:rsidRPr="00F72499" w:rsidRDefault="00873D37">
      <w:pPr>
        <w:rPr>
          <w:rFonts w:ascii="Aptos" w:hAnsi="Aptos"/>
          <w:color w:val="002060"/>
          <w:sz w:val="22"/>
          <w:szCs w:val="22"/>
        </w:rPr>
      </w:pPr>
    </w:p>
    <w:p w14:paraId="3F2EB1FB" w14:textId="77777777" w:rsidR="00873D37" w:rsidRPr="00F72499" w:rsidRDefault="00873D37">
      <w:pPr>
        <w:rPr>
          <w:rFonts w:ascii="Aptos" w:hAnsi="Aptos"/>
          <w:color w:val="002060"/>
          <w:sz w:val="22"/>
          <w:szCs w:val="22"/>
        </w:rPr>
      </w:pPr>
    </w:p>
    <w:p w14:paraId="7D6ED0C2" w14:textId="04C01117" w:rsidR="00873D37" w:rsidRPr="00F72499" w:rsidRDefault="00873D37">
      <w:pPr>
        <w:jc w:val="center"/>
        <w:rPr>
          <w:rFonts w:ascii="Aptos" w:hAnsi="Aptos"/>
          <w:color w:val="002060"/>
          <w:sz w:val="22"/>
          <w:szCs w:val="22"/>
        </w:rPr>
      </w:pPr>
    </w:p>
    <w:tbl>
      <w:tblPr>
        <w:tblpPr w:leftFromText="187" w:rightFromText="187" w:horzAnchor="margin" w:tblpXSpec="center" w:tblpY="2881"/>
        <w:tblW w:w="4343" w:type="pct"/>
        <w:tblBorders>
          <w:left w:val="single" w:sz="12" w:space="0" w:color="1CADE4" w:themeColor="accent1"/>
        </w:tblBorders>
        <w:tblCellMar>
          <w:left w:w="144" w:type="dxa"/>
          <w:right w:w="115" w:type="dxa"/>
        </w:tblCellMar>
        <w:tblLook w:val="04A0" w:firstRow="1" w:lastRow="0" w:firstColumn="1" w:lastColumn="0" w:noHBand="0" w:noVBand="1"/>
      </w:tblPr>
      <w:tblGrid>
        <w:gridCol w:w="7880"/>
      </w:tblGrid>
      <w:tr w:rsidR="00F172C6" w:rsidRPr="00F72499" w14:paraId="6B15BD4A" w14:textId="77777777" w:rsidTr="00743899">
        <w:sdt>
          <w:sdtPr>
            <w:rPr>
              <w:rFonts w:ascii="Aptos" w:hAnsi="Aptos"/>
              <w:b/>
              <w:bCs/>
              <w:color w:val="002060"/>
              <w:sz w:val="32"/>
              <w:szCs w:val="32"/>
              <w:lang w:val="cs-CZ" w:eastAsia="cs-CZ"/>
            </w:rPr>
            <w:alias w:val="Společnost"/>
            <w:id w:val="13406915"/>
            <w:placeholder>
              <w:docPart w:val="3F1A3D4DBC784856BA1DB1359AE0DF7F"/>
            </w:placeholder>
            <w:dataBinding w:prefixMappings="xmlns:ns0='http://schemas.openxmlformats.org/officeDocument/2006/extended-properties'" w:xpath="/ns0:Properties[1]/ns0:Company[1]" w:storeItemID="{6668398D-A668-4E3E-A5EB-62B293D839F1}"/>
            <w:text/>
          </w:sdtPr>
          <w:sdtContent>
            <w:tc>
              <w:tcPr>
                <w:tcW w:w="7880" w:type="dxa"/>
                <w:tcBorders>
                  <w:top w:val="single" w:sz="4" w:space="0" w:color="000000" w:themeColor="text1"/>
                  <w:left w:val="nil"/>
                  <w:bottom w:val="single" w:sz="4" w:space="0" w:color="000000"/>
                </w:tcBorders>
                <w:shd w:val="clear" w:color="auto" w:fill="D8F1EA"/>
                <w:tcMar>
                  <w:top w:w="216" w:type="dxa"/>
                  <w:left w:w="115" w:type="dxa"/>
                  <w:bottom w:w="216" w:type="dxa"/>
                  <w:right w:w="115" w:type="dxa"/>
                </w:tcMar>
              </w:tcPr>
              <w:p w14:paraId="3FF6688D" w14:textId="70A16287" w:rsidR="00F172C6" w:rsidRPr="00F72499" w:rsidRDefault="663C82A3" w:rsidP="00BE644A">
                <w:pPr>
                  <w:pStyle w:val="Bezmezer"/>
                  <w:jc w:val="center"/>
                  <w:rPr>
                    <w:rFonts w:ascii="Aptos" w:hAnsi="Aptos"/>
                    <w:b/>
                    <w:bCs/>
                    <w:color w:val="002060"/>
                    <w:sz w:val="32"/>
                    <w:szCs w:val="32"/>
                    <w:lang w:val="cs-CZ"/>
                  </w:rPr>
                </w:pPr>
                <w:r w:rsidRPr="00F72499">
                  <w:rPr>
                    <w:rFonts w:ascii="Aptos" w:hAnsi="Aptos"/>
                    <w:b/>
                    <w:bCs/>
                    <w:color w:val="002060"/>
                    <w:sz w:val="32"/>
                    <w:szCs w:val="32"/>
                    <w:lang w:val="cs-CZ"/>
                  </w:rPr>
                  <w:t>Národní strategie pro vzácná onemocnění 2026-2035</w:t>
                </w:r>
              </w:p>
            </w:tc>
          </w:sdtContent>
        </w:sdt>
      </w:tr>
      <w:tr w:rsidR="00F172C6" w:rsidRPr="00F72499" w14:paraId="28AFAAEF" w14:textId="77777777" w:rsidTr="00743899">
        <w:trPr>
          <w:trHeight w:val="2459"/>
        </w:trPr>
        <w:tc>
          <w:tcPr>
            <w:tcW w:w="7880" w:type="dxa"/>
            <w:tcBorders>
              <w:top w:val="single" w:sz="4" w:space="0" w:color="000000"/>
              <w:left w:val="nil"/>
              <w:bottom w:val="single" w:sz="4" w:space="0" w:color="000000" w:themeColor="text1"/>
            </w:tcBorders>
            <w:shd w:val="clear" w:color="auto" w:fill="FFFFFF" w:themeFill="background1"/>
            <w:vAlign w:val="center"/>
          </w:tcPr>
          <w:sdt>
            <w:sdtPr>
              <w:rPr>
                <w:rFonts w:ascii="Aptos" w:eastAsiaTheme="majorEastAsia" w:hAnsi="Aptos" w:cs="Calibri Light"/>
                <w:b/>
                <w:bCs/>
                <w:color w:val="002060"/>
                <w:sz w:val="72"/>
                <w:szCs w:val="72"/>
                <w:lang w:val="cs-CZ" w:eastAsia="cs-CZ"/>
              </w:rPr>
              <w:alias w:val="Název"/>
              <w:id w:val="13406919"/>
              <w:placeholder>
                <w:docPart w:val="992C4F85AECE4B67A8363D7B4678F486"/>
              </w:placeholder>
              <w:dataBinding w:prefixMappings="xmlns:ns0='http://schemas.openxmlformats.org/package/2006/metadata/core-properties' xmlns:ns1='http://purl.org/dc/elements/1.1/'" w:xpath="/ns0:coreProperties[1]/ns1:title[1]" w:storeItemID="{6C3C8BC8-F283-45AE-878A-BAB7291924A1}"/>
              <w:text/>
            </w:sdtPr>
            <w:sdtContent>
              <w:p w14:paraId="3C0BB871" w14:textId="0F491DB2" w:rsidR="00F172C6" w:rsidRPr="00F72499" w:rsidRDefault="663C82A3" w:rsidP="32AD3AAF">
                <w:pPr>
                  <w:pStyle w:val="Bezmezer"/>
                  <w:spacing w:line="216" w:lineRule="auto"/>
                  <w:jc w:val="center"/>
                  <w:rPr>
                    <w:rFonts w:ascii="Aptos" w:eastAsiaTheme="majorEastAsia" w:hAnsi="Aptos" w:cstheme="majorBidi"/>
                    <w:color w:val="002060"/>
                    <w:sz w:val="96"/>
                    <w:szCs w:val="96"/>
                    <w:lang w:val="cs-CZ"/>
                  </w:rPr>
                </w:pPr>
                <w:r w:rsidRPr="00F72499">
                  <w:rPr>
                    <w:rFonts w:ascii="Aptos" w:eastAsiaTheme="majorEastAsia" w:hAnsi="Aptos" w:cs="Calibri Light"/>
                    <w:b/>
                    <w:bCs/>
                    <w:color w:val="002060"/>
                    <w:sz w:val="72"/>
                    <w:szCs w:val="72"/>
                    <w:lang w:val="cs-CZ"/>
                  </w:rPr>
                  <w:t>Implementační plán strategického cíle č. 2</w:t>
                </w:r>
              </w:p>
            </w:sdtContent>
          </w:sdt>
        </w:tc>
      </w:tr>
    </w:tbl>
    <w:p w14:paraId="48ECD00D" w14:textId="77777777" w:rsidR="00F172C6" w:rsidRPr="00F72499" w:rsidRDefault="00F172C6">
      <w:pPr>
        <w:rPr>
          <w:rFonts w:ascii="Aptos" w:hAnsi="Aptos"/>
          <w:color w:val="002060"/>
          <w:sz w:val="22"/>
          <w:szCs w:val="22"/>
        </w:rPr>
      </w:pPr>
    </w:p>
    <w:p w14:paraId="1F4B95DE" w14:textId="764179DB" w:rsidR="00873D37" w:rsidRPr="00F72499" w:rsidRDefault="00C05BF8">
      <w:pPr>
        <w:rPr>
          <w:rFonts w:ascii="Aptos" w:hAnsi="Aptos"/>
          <w:color w:val="002060"/>
          <w:sz w:val="22"/>
          <w:szCs w:val="22"/>
        </w:rPr>
      </w:pPr>
      <w:r w:rsidRPr="00F72499">
        <w:rPr>
          <w:rFonts w:ascii="Aptos" w:hAnsi="Aptos"/>
          <w:color w:val="002060"/>
          <w:sz w:val="22"/>
          <w:szCs w:val="22"/>
        </w:rPr>
        <w:br w:type="page"/>
      </w:r>
    </w:p>
    <w:sdt>
      <w:sdtPr>
        <w:rPr>
          <w:rFonts w:asciiTheme="minorHAnsi" w:eastAsiaTheme="minorEastAsia" w:hAnsiTheme="minorHAnsi" w:cstheme="minorBidi"/>
          <w:b w:val="0"/>
          <w:bCs w:val="0"/>
          <w:color w:val="auto"/>
          <w:sz w:val="22"/>
          <w:szCs w:val="22"/>
          <w:lang w:val="cs-CZ"/>
        </w:rPr>
        <w:id w:val="942191"/>
        <w:docPartObj>
          <w:docPartGallery w:val="Table of Contents"/>
          <w:docPartUnique/>
        </w:docPartObj>
      </w:sdtPr>
      <w:sdtContent>
        <w:p w14:paraId="7BCBBD83" w14:textId="11262933" w:rsidR="00BD0806" w:rsidRPr="00F72499" w:rsidRDefault="00BD0806" w:rsidP="0092591D">
          <w:pPr>
            <w:pStyle w:val="Nadpisobsahu"/>
            <w:jc w:val="center"/>
            <w:rPr>
              <w:rFonts w:ascii="Aptos" w:hAnsi="Aptos"/>
              <w:color w:val="002060"/>
              <w:sz w:val="32"/>
              <w:szCs w:val="32"/>
              <w:lang w:val="cs-CZ" w:eastAsia="cs-CZ"/>
            </w:rPr>
          </w:pPr>
          <w:r w:rsidRPr="00F72499">
            <w:rPr>
              <w:rFonts w:ascii="Aptos" w:hAnsi="Aptos"/>
              <w:color w:val="002060"/>
              <w:sz w:val="32"/>
              <w:szCs w:val="32"/>
              <w:lang w:val="cs-CZ" w:eastAsia="cs-CZ"/>
            </w:rPr>
            <w:t>Obsah</w:t>
          </w:r>
        </w:p>
        <w:p w14:paraId="23FC5A81" w14:textId="6ADDE595" w:rsidR="0092591D" w:rsidRPr="00F72499" w:rsidRDefault="00BD0806" w:rsidP="0092591D">
          <w:pPr>
            <w:pStyle w:val="Obsah1"/>
            <w:tabs>
              <w:tab w:val="left" w:pos="480"/>
              <w:tab w:val="right" w:leader="dot" w:pos="9062"/>
            </w:tabs>
            <w:ind w:left="567" w:hanging="567"/>
            <w:rPr>
              <w:rStyle w:val="Hypertextovodkaz"/>
              <w:rFonts w:ascii="Aptos" w:eastAsiaTheme="minorHAnsi" w:hAnsi="Aptos"/>
              <w:noProof/>
              <w:color w:val="002060"/>
              <w:kern w:val="2"/>
              <w:u w:val="none"/>
              <w:lang w:val="cs-CZ"/>
              <w14:ligatures w14:val="standardContextual"/>
            </w:rPr>
          </w:pPr>
          <w:r w:rsidRPr="00F72499">
            <w:rPr>
              <w:rStyle w:val="Hypertextovodkaz"/>
              <w:rFonts w:ascii="Aptos" w:eastAsiaTheme="minorHAnsi" w:hAnsi="Aptos"/>
              <w:color w:val="002060"/>
              <w:kern w:val="2"/>
              <w:lang w:val="cs-CZ"/>
              <w14:ligatures w14:val="standardContextual"/>
            </w:rPr>
            <w:fldChar w:fldCharType="begin"/>
          </w:r>
          <w:r w:rsidRPr="00F72499">
            <w:rPr>
              <w:rStyle w:val="Hypertextovodkaz"/>
              <w:rFonts w:ascii="Aptos" w:eastAsiaTheme="minorHAnsi" w:hAnsi="Aptos"/>
              <w:color w:val="002060"/>
              <w:kern w:val="2"/>
              <w:lang w:val="cs-CZ"/>
              <w14:ligatures w14:val="standardContextual"/>
            </w:rPr>
            <w:instrText xml:space="preserve"> TOC \o "1-3" \h \z \u </w:instrText>
          </w:r>
          <w:r w:rsidRPr="00F72499">
            <w:rPr>
              <w:rStyle w:val="Hypertextovodkaz"/>
              <w:rFonts w:ascii="Aptos" w:eastAsiaTheme="minorHAnsi" w:hAnsi="Aptos"/>
              <w:color w:val="002060"/>
              <w:kern w:val="2"/>
              <w:lang w:val="cs-CZ"/>
              <w14:ligatures w14:val="standardContextual"/>
            </w:rPr>
            <w:fldChar w:fldCharType="separate"/>
          </w:r>
          <w:hyperlink w:anchor="_Toc231330672" w:history="1">
            <w:r w:rsidR="0092591D" w:rsidRPr="00F72499">
              <w:rPr>
                <w:rStyle w:val="Hypertextovodkaz"/>
                <w:rFonts w:ascii="Aptos" w:eastAsiaTheme="minorHAnsi" w:hAnsi="Aptos"/>
                <w:noProof/>
                <w:color w:val="002060"/>
                <w:kern w:val="2"/>
                <w:u w:val="none"/>
                <w:lang w:val="cs-CZ"/>
                <w14:ligatures w14:val="standardContextual"/>
              </w:rPr>
              <w:t xml:space="preserve">1     </w:t>
            </w:r>
            <w:r w:rsidR="00DC5084"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 xml:space="preserve"> Úvod</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_Toc231330672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3</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2328CE32" w14:textId="4A9420EB"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73" w:history="1">
            <w:r w:rsidR="0092591D" w:rsidRPr="00F72499">
              <w:rPr>
                <w:rStyle w:val="Hypertextovodkaz"/>
                <w:rFonts w:ascii="Aptos" w:eastAsiaTheme="minorHAnsi" w:hAnsi="Aptos"/>
                <w:noProof/>
                <w:color w:val="002060"/>
                <w:kern w:val="2"/>
                <w:u w:val="none"/>
                <w:lang w:val="cs-CZ"/>
                <w14:ligatures w14:val="standardContextual"/>
              </w:rPr>
              <w:t xml:space="preserve">1.1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Úvod a východiska IP2</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_Toc231330673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3</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6F7B2B01" w14:textId="6965861F" w:rsidR="0092591D" w:rsidRPr="00F72499" w:rsidRDefault="0092591D" w:rsidP="0092591D">
          <w:pPr>
            <w:pStyle w:val="Obsah1"/>
            <w:tabs>
              <w:tab w:val="left" w:pos="480"/>
              <w:tab w:val="right" w:leader="dot" w:pos="9062"/>
            </w:tabs>
            <w:rPr>
              <w:rStyle w:val="Hypertextovodkaz"/>
              <w:rFonts w:ascii="Aptos" w:eastAsiaTheme="minorHAnsi" w:hAnsi="Aptos"/>
              <w:noProof/>
              <w:color w:val="002060"/>
              <w:u w:val="none"/>
              <w:lang w:val="cs-CZ"/>
            </w:rPr>
          </w:pPr>
          <w:hyperlink w:anchor="_Toc231330674" w:history="1">
            <w:r w:rsidRPr="00F72499">
              <w:rPr>
                <w:rStyle w:val="Hypertextovodkaz"/>
                <w:rFonts w:ascii="Aptos" w:eastAsiaTheme="minorHAnsi" w:hAnsi="Aptos"/>
                <w:noProof/>
                <w:color w:val="002060"/>
                <w:kern w:val="2"/>
                <w:u w:val="none"/>
                <w:lang w:val="cs-CZ"/>
                <w14:ligatures w14:val="standardContextual"/>
              </w:rPr>
              <w:t xml:space="preserve">2 </w:t>
            </w:r>
            <w:r w:rsidR="00DC5084" w:rsidRPr="00F72499">
              <w:rPr>
                <w:rStyle w:val="Hypertextovodkaz"/>
                <w:rFonts w:ascii="Aptos" w:eastAsiaTheme="minorHAnsi" w:hAnsi="Aptos"/>
                <w:noProof/>
                <w:color w:val="002060"/>
                <w:kern w:val="2"/>
                <w:u w:val="none"/>
                <w:lang w:val="cs-CZ"/>
                <w14:ligatures w14:val="standardContextual"/>
              </w:rPr>
              <w:t xml:space="preserve">        </w:t>
            </w:r>
            <w:r w:rsidRPr="00F72499">
              <w:rPr>
                <w:rStyle w:val="Hypertextovodkaz"/>
                <w:rFonts w:ascii="Aptos" w:eastAsiaTheme="minorHAnsi" w:hAnsi="Aptos"/>
                <w:noProof/>
                <w:color w:val="002060"/>
                <w:kern w:val="2"/>
                <w:u w:val="none"/>
                <w:lang w:val="cs-CZ"/>
                <w14:ligatures w14:val="standardContextual"/>
              </w:rPr>
              <w:t>Řídicí a organizační struktura</w:t>
            </w:r>
            <w:r w:rsidRPr="00F72499">
              <w:rPr>
                <w:rStyle w:val="Hypertextovodkaz"/>
                <w:rFonts w:ascii="Aptos" w:eastAsiaTheme="minorHAnsi" w:hAnsi="Aptos"/>
                <w:noProof/>
                <w:webHidden/>
                <w:color w:val="002060"/>
                <w:kern w:val="2"/>
                <w:u w:val="none"/>
                <w:lang w:val="cs-CZ"/>
                <w14:ligatures w14:val="standardContextual"/>
              </w:rPr>
              <w:tab/>
            </w:r>
            <w:r w:rsidRPr="00F72499">
              <w:rPr>
                <w:rStyle w:val="Hypertextovodkaz"/>
                <w:rFonts w:ascii="Aptos" w:eastAsiaTheme="minorHAnsi" w:hAnsi="Aptos"/>
                <w:noProof/>
                <w:webHidden/>
                <w:color w:val="002060"/>
                <w:kern w:val="2"/>
                <w:u w:val="none"/>
                <w:lang w:val="cs-CZ"/>
                <w14:ligatures w14:val="standardContextual"/>
              </w:rPr>
              <w:fldChar w:fldCharType="begin"/>
            </w:r>
            <w:r w:rsidRPr="00F72499">
              <w:rPr>
                <w:rStyle w:val="Hypertextovodkaz"/>
                <w:rFonts w:ascii="Aptos" w:eastAsiaTheme="minorHAnsi" w:hAnsi="Aptos"/>
                <w:noProof/>
                <w:webHidden/>
                <w:color w:val="002060"/>
                <w:kern w:val="2"/>
                <w:u w:val="none"/>
                <w:lang w:val="cs-CZ"/>
                <w14:ligatures w14:val="standardContextual"/>
              </w:rPr>
              <w:instrText xml:space="preserve"> PAGEREF _Toc231330674 \h </w:instrText>
            </w:r>
            <w:r w:rsidRPr="00F72499">
              <w:rPr>
                <w:rStyle w:val="Hypertextovodkaz"/>
                <w:rFonts w:ascii="Aptos" w:eastAsiaTheme="minorHAnsi" w:hAnsi="Aptos"/>
                <w:noProof/>
                <w:webHidden/>
                <w:color w:val="002060"/>
                <w:kern w:val="2"/>
                <w:u w:val="none"/>
                <w:lang w:val="cs-CZ"/>
                <w14:ligatures w14:val="standardContextual"/>
              </w:rPr>
            </w:r>
            <w:r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4</w:t>
            </w:r>
            <w:r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632DB335" w14:textId="3B230B00"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75" w:history="1">
            <w:r w:rsidR="0092591D" w:rsidRPr="00F72499">
              <w:rPr>
                <w:rStyle w:val="Hypertextovodkaz"/>
                <w:rFonts w:ascii="Aptos" w:eastAsiaTheme="minorHAnsi" w:hAnsi="Aptos"/>
                <w:noProof/>
                <w:color w:val="002060"/>
                <w:kern w:val="2"/>
                <w:u w:val="none"/>
                <w:lang w:val="cs-CZ"/>
                <w14:ligatures w14:val="standardContextual"/>
              </w:rPr>
              <w:t xml:space="preserve">2.1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Gestorství a odpovědnost za implementaci</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_Toc231330675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4</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6B40DD2E" w14:textId="5A9C372C" w:rsidR="0092591D" w:rsidRPr="00F72499" w:rsidRDefault="0092591D" w:rsidP="0092591D">
          <w:pPr>
            <w:pStyle w:val="Obsah1"/>
            <w:tabs>
              <w:tab w:val="left" w:pos="480"/>
              <w:tab w:val="right" w:leader="dot" w:pos="9062"/>
            </w:tabs>
            <w:rPr>
              <w:rStyle w:val="Hypertextovodkaz"/>
              <w:rFonts w:ascii="Aptos" w:eastAsiaTheme="minorHAnsi" w:hAnsi="Aptos"/>
              <w:noProof/>
              <w:color w:val="002060"/>
              <w:u w:val="none"/>
              <w:lang w:val="cs-CZ"/>
            </w:rPr>
          </w:pPr>
          <w:hyperlink w:anchor="_Toc231330676" w:history="1">
            <w:r w:rsidRPr="00F72499">
              <w:rPr>
                <w:rStyle w:val="Hypertextovodkaz"/>
                <w:rFonts w:ascii="Aptos" w:eastAsiaTheme="minorHAnsi" w:hAnsi="Aptos"/>
                <w:noProof/>
                <w:color w:val="002060"/>
                <w:kern w:val="2"/>
                <w:u w:val="none"/>
                <w:lang w:val="cs-CZ"/>
                <w14:ligatures w14:val="standardContextual"/>
              </w:rPr>
              <w:t xml:space="preserve">3 </w:t>
            </w:r>
            <w:r w:rsidR="00DC5084" w:rsidRPr="00F72499">
              <w:rPr>
                <w:rStyle w:val="Hypertextovodkaz"/>
                <w:rFonts w:ascii="Aptos" w:eastAsiaTheme="minorHAnsi" w:hAnsi="Aptos"/>
                <w:noProof/>
                <w:color w:val="002060"/>
                <w:kern w:val="2"/>
                <w:u w:val="none"/>
                <w:lang w:val="cs-CZ"/>
                <w14:ligatures w14:val="standardContextual"/>
              </w:rPr>
              <w:t xml:space="preserve">        </w:t>
            </w:r>
            <w:r w:rsidRPr="00F72499">
              <w:rPr>
                <w:rStyle w:val="Hypertextovodkaz"/>
                <w:rFonts w:ascii="Aptos" w:eastAsiaTheme="minorHAnsi" w:hAnsi="Aptos"/>
                <w:noProof/>
                <w:color w:val="002060"/>
                <w:kern w:val="2"/>
                <w:u w:val="none"/>
                <w:lang w:val="cs-CZ"/>
                <w14:ligatures w14:val="standardContextual"/>
              </w:rPr>
              <w:t>Principy implementace</w:t>
            </w:r>
            <w:r w:rsidRPr="00F72499">
              <w:rPr>
                <w:rStyle w:val="Hypertextovodkaz"/>
                <w:rFonts w:ascii="Aptos" w:eastAsiaTheme="minorHAnsi" w:hAnsi="Aptos"/>
                <w:noProof/>
                <w:webHidden/>
                <w:color w:val="002060"/>
                <w:kern w:val="2"/>
                <w:u w:val="none"/>
                <w:lang w:val="cs-CZ"/>
                <w14:ligatures w14:val="standardContextual"/>
              </w:rPr>
              <w:tab/>
            </w:r>
            <w:r w:rsidRPr="00F72499">
              <w:rPr>
                <w:rStyle w:val="Hypertextovodkaz"/>
                <w:rFonts w:ascii="Aptos" w:eastAsiaTheme="minorHAnsi" w:hAnsi="Aptos"/>
                <w:noProof/>
                <w:webHidden/>
                <w:color w:val="002060"/>
                <w:kern w:val="2"/>
                <w:u w:val="none"/>
                <w:lang w:val="cs-CZ"/>
                <w14:ligatures w14:val="standardContextual"/>
              </w:rPr>
              <w:fldChar w:fldCharType="begin"/>
            </w:r>
            <w:r w:rsidRPr="00F72499">
              <w:rPr>
                <w:rStyle w:val="Hypertextovodkaz"/>
                <w:rFonts w:ascii="Aptos" w:eastAsiaTheme="minorHAnsi" w:hAnsi="Aptos"/>
                <w:noProof/>
                <w:webHidden/>
                <w:color w:val="002060"/>
                <w:kern w:val="2"/>
                <w:u w:val="none"/>
                <w:lang w:val="cs-CZ"/>
                <w14:ligatures w14:val="standardContextual"/>
              </w:rPr>
              <w:instrText xml:space="preserve"> PAGEREF _Toc231330676 \h </w:instrText>
            </w:r>
            <w:r w:rsidRPr="00F72499">
              <w:rPr>
                <w:rStyle w:val="Hypertextovodkaz"/>
                <w:rFonts w:ascii="Aptos" w:eastAsiaTheme="minorHAnsi" w:hAnsi="Aptos"/>
                <w:noProof/>
                <w:webHidden/>
                <w:color w:val="002060"/>
                <w:kern w:val="2"/>
                <w:u w:val="none"/>
                <w:lang w:val="cs-CZ"/>
                <w14:ligatures w14:val="standardContextual"/>
              </w:rPr>
            </w:r>
            <w:r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4</w:t>
            </w:r>
            <w:r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32722140" w14:textId="574D206D"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77" w:history="1">
            <w:r w:rsidR="0092591D" w:rsidRPr="00F72499">
              <w:rPr>
                <w:rStyle w:val="Hypertextovodkaz"/>
                <w:rFonts w:ascii="Aptos" w:eastAsiaTheme="minorHAnsi" w:hAnsi="Aptos"/>
                <w:noProof/>
                <w:color w:val="002060"/>
                <w:kern w:val="2"/>
                <w:u w:val="none"/>
                <w:lang w:val="cs-CZ"/>
                <w14:ligatures w14:val="standardContextual"/>
              </w:rPr>
              <w:t xml:space="preserve">3.1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Centralizace a síťování odborné péče</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_Toc231330677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4</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5F7271AF" w14:textId="267B0661"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78" w:history="1">
            <w:r w:rsidR="0092591D" w:rsidRPr="00F72499">
              <w:rPr>
                <w:rStyle w:val="Hypertextovodkaz"/>
                <w:rFonts w:ascii="Aptos" w:eastAsiaTheme="minorHAnsi" w:hAnsi="Aptos"/>
                <w:noProof/>
                <w:color w:val="002060"/>
                <w:kern w:val="2"/>
                <w:u w:val="none"/>
                <w:lang w:val="cs-CZ"/>
                <w14:ligatures w14:val="standardContextual"/>
              </w:rPr>
              <w:t xml:space="preserve">3.2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Kvalita, efektivita a udržitelnost péče</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_Toc231330678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5</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448033D2" w14:textId="040EB3BE"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79" w:history="1">
            <w:r w:rsidR="0092591D" w:rsidRPr="00F72499">
              <w:rPr>
                <w:rStyle w:val="Hypertextovodkaz"/>
                <w:rFonts w:ascii="Aptos" w:eastAsiaTheme="minorHAnsi" w:hAnsi="Aptos"/>
                <w:noProof/>
                <w:color w:val="002060"/>
                <w:kern w:val="2"/>
                <w:u w:val="none"/>
                <w:lang w:val="cs-CZ"/>
                <w14:ligatures w14:val="standardContextual"/>
              </w:rPr>
              <w:t xml:space="preserve">3.3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Implementace moderních postupů a technologií</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_Toc231330679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5</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0550D2B0" w14:textId="2A715CA4"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80" w:history="1">
            <w:r w:rsidR="0092591D" w:rsidRPr="00F72499">
              <w:rPr>
                <w:rStyle w:val="Hypertextovodkaz"/>
                <w:rFonts w:ascii="Aptos" w:eastAsiaTheme="minorHAnsi" w:hAnsi="Aptos"/>
                <w:noProof/>
                <w:color w:val="002060"/>
                <w:kern w:val="2"/>
                <w:u w:val="none"/>
                <w:lang w:val="cs-CZ"/>
                <w14:ligatures w14:val="standardContextual"/>
              </w:rPr>
              <w:t xml:space="preserve">3.4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Opatření průřezového charakteru</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_Toc231330680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5</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08AF63C9" w14:textId="2CC83B71" w:rsidR="0092591D" w:rsidRPr="00F72499" w:rsidRDefault="0092591D" w:rsidP="0092591D">
          <w:pPr>
            <w:pStyle w:val="Obsah1"/>
            <w:tabs>
              <w:tab w:val="left" w:pos="480"/>
              <w:tab w:val="right" w:leader="dot" w:pos="9062"/>
            </w:tabs>
            <w:rPr>
              <w:rStyle w:val="Hypertextovodkaz"/>
              <w:rFonts w:ascii="Aptos" w:eastAsiaTheme="minorHAnsi" w:hAnsi="Aptos"/>
              <w:noProof/>
              <w:color w:val="002060"/>
              <w:u w:val="none"/>
              <w:lang w:val="cs-CZ"/>
            </w:rPr>
          </w:pPr>
          <w:hyperlink w:anchor="_Toc231330681" w:history="1">
            <w:r w:rsidRPr="00F72499">
              <w:rPr>
                <w:rStyle w:val="Hypertextovodkaz"/>
                <w:rFonts w:ascii="Aptos" w:eastAsiaTheme="minorHAnsi" w:hAnsi="Aptos"/>
                <w:noProof/>
                <w:color w:val="002060"/>
                <w:kern w:val="2"/>
                <w:u w:val="none"/>
                <w:lang w:val="cs-CZ"/>
                <w14:ligatures w14:val="standardContextual"/>
              </w:rPr>
              <w:t xml:space="preserve">4 </w:t>
            </w:r>
            <w:r w:rsidR="00DC5084" w:rsidRPr="00F72499">
              <w:rPr>
                <w:rStyle w:val="Hypertextovodkaz"/>
                <w:rFonts w:ascii="Aptos" w:eastAsiaTheme="minorHAnsi" w:hAnsi="Aptos"/>
                <w:noProof/>
                <w:color w:val="002060"/>
                <w:kern w:val="2"/>
                <w:u w:val="none"/>
                <w:lang w:val="cs-CZ"/>
                <w14:ligatures w14:val="standardContextual"/>
              </w:rPr>
              <w:t xml:space="preserve">         </w:t>
            </w:r>
            <w:r w:rsidRPr="00F72499">
              <w:rPr>
                <w:rStyle w:val="Hypertextovodkaz"/>
                <w:rFonts w:ascii="Aptos" w:eastAsiaTheme="minorHAnsi" w:hAnsi="Aptos"/>
                <w:noProof/>
                <w:color w:val="002060"/>
                <w:kern w:val="2"/>
                <w:u w:val="none"/>
                <w:lang w:val="cs-CZ"/>
                <w14:ligatures w14:val="standardContextual"/>
              </w:rPr>
              <w:t>Harmonogram realizace</w:t>
            </w:r>
            <w:r w:rsidRPr="00F72499">
              <w:rPr>
                <w:rStyle w:val="Hypertextovodkaz"/>
                <w:rFonts w:ascii="Aptos" w:eastAsiaTheme="minorHAnsi" w:hAnsi="Aptos"/>
                <w:noProof/>
                <w:webHidden/>
                <w:color w:val="002060"/>
                <w:kern w:val="2"/>
                <w:u w:val="none"/>
                <w:lang w:val="cs-CZ"/>
                <w14:ligatures w14:val="standardContextual"/>
              </w:rPr>
              <w:tab/>
            </w:r>
            <w:r w:rsidRPr="00F72499">
              <w:rPr>
                <w:rStyle w:val="Hypertextovodkaz"/>
                <w:rFonts w:ascii="Aptos" w:eastAsiaTheme="minorHAnsi" w:hAnsi="Aptos"/>
                <w:noProof/>
                <w:webHidden/>
                <w:color w:val="002060"/>
                <w:kern w:val="2"/>
                <w:u w:val="none"/>
                <w:lang w:val="cs-CZ"/>
                <w14:ligatures w14:val="standardContextual"/>
              </w:rPr>
              <w:fldChar w:fldCharType="begin"/>
            </w:r>
            <w:r w:rsidRPr="00F72499">
              <w:rPr>
                <w:rStyle w:val="Hypertextovodkaz"/>
                <w:rFonts w:ascii="Aptos" w:eastAsiaTheme="minorHAnsi" w:hAnsi="Aptos"/>
                <w:noProof/>
                <w:webHidden/>
                <w:color w:val="002060"/>
                <w:kern w:val="2"/>
                <w:u w:val="none"/>
                <w:lang w:val="cs-CZ"/>
                <w14:ligatures w14:val="standardContextual"/>
              </w:rPr>
              <w:instrText xml:space="preserve"> PAGEREF _Toc231330681 \h </w:instrText>
            </w:r>
            <w:r w:rsidRPr="00F72499">
              <w:rPr>
                <w:rStyle w:val="Hypertextovodkaz"/>
                <w:rFonts w:ascii="Aptos" w:eastAsiaTheme="minorHAnsi" w:hAnsi="Aptos"/>
                <w:noProof/>
                <w:webHidden/>
                <w:color w:val="002060"/>
                <w:kern w:val="2"/>
                <w:u w:val="none"/>
                <w:lang w:val="cs-CZ"/>
                <w14:ligatures w14:val="standardContextual"/>
              </w:rPr>
            </w:r>
            <w:r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5</w:t>
            </w:r>
            <w:r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4B93D230" w14:textId="61B84009" w:rsidR="0092591D" w:rsidRPr="00F72499" w:rsidRDefault="0092591D" w:rsidP="0092591D">
          <w:pPr>
            <w:pStyle w:val="Obsah1"/>
            <w:tabs>
              <w:tab w:val="left" w:pos="480"/>
              <w:tab w:val="right" w:leader="dot" w:pos="9062"/>
            </w:tabs>
            <w:rPr>
              <w:rStyle w:val="Hypertextovodkaz"/>
              <w:rFonts w:ascii="Aptos" w:eastAsiaTheme="minorHAnsi" w:hAnsi="Aptos"/>
              <w:noProof/>
              <w:color w:val="002060"/>
              <w:u w:val="none"/>
              <w:lang w:val="cs-CZ"/>
            </w:rPr>
          </w:pPr>
          <w:hyperlink w:anchor="_Toc231330682" w:history="1">
            <w:r w:rsidRPr="00F72499">
              <w:rPr>
                <w:rStyle w:val="Hypertextovodkaz"/>
                <w:rFonts w:ascii="Aptos" w:eastAsiaTheme="minorHAnsi" w:hAnsi="Aptos"/>
                <w:noProof/>
                <w:color w:val="002060"/>
                <w:kern w:val="2"/>
                <w:u w:val="none"/>
                <w:lang w:val="cs-CZ"/>
                <w14:ligatures w14:val="standardContextual"/>
              </w:rPr>
              <w:t xml:space="preserve">5 </w:t>
            </w:r>
            <w:r w:rsidR="00DC5084" w:rsidRPr="00F72499">
              <w:rPr>
                <w:rStyle w:val="Hypertextovodkaz"/>
                <w:rFonts w:ascii="Aptos" w:eastAsiaTheme="minorHAnsi" w:hAnsi="Aptos"/>
                <w:noProof/>
                <w:color w:val="002060"/>
                <w:kern w:val="2"/>
                <w:u w:val="none"/>
                <w:lang w:val="cs-CZ"/>
                <w14:ligatures w14:val="standardContextual"/>
              </w:rPr>
              <w:t xml:space="preserve">         </w:t>
            </w:r>
            <w:r w:rsidRPr="00F72499">
              <w:rPr>
                <w:rStyle w:val="Hypertextovodkaz"/>
                <w:rFonts w:ascii="Aptos" w:eastAsiaTheme="minorHAnsi" w:hAnsi="Aptos"/>
                <w:noProof/>
                <w:color w:val="002060"/>
                <w:kern w:val="2"/>
                <w:u w:val="none"/>
                <w:lang w:val="cs-CZ"/>
                <w14:ligatures w14:val="standardContextual"/>
              </w:rPr>
              <w:t>Implementace strategického cíle 2: Zvýšení efektivity a kvality zdravotní péče</w:t>
            </w:r>
            <w:r w:rsidRPr="00F72499">
              <w:rPr>
                <w:rStyle w:val="Hypertextovodkaz"/>
                <w:rFonts w:ascii="Aptos" w:eastAsiaTheme="minorHAnsi" w:hAnsi="Aptos"/>
                <w:noProof/>
                <w:webHidden/>
                <w:color w:val="002060"/>
                <w:kern w:val="2"/>
                <w:u w:val="none"/>
                <w:lang w:val="cs-CZ"/>
                <w14:ligatures w14:val="standardContextual"/>
              </w:rPr>
              <w:tab/>
            </w:r>
            <w:r w:rsidRPr="00F72499">
              <w:rPr>
                <w:rStyle w:val="Hypertextovodkaz"/>
                <w:rFonts w:ascii="Aptos" w:eastAsiaTheme="minorHAnsi" w:hAnsi="Aptos"/>
                <w:noProof/>
                <w:webHidden/>
                <w:color w:val="002060"/>
                <w:kern w:val="2"/>
                <w:u w:val="none"/>
                <w:lang w:val="cs-CZ"/>
                <w14:ligatures w14:val="standardContextual"/>
              </w:rPr>
              <w:fldChar w:fldCharType="begin"/>
            </w:r>
            <w:r w:rsidRPr="00F72499">
              <w:rPr>
                <w:rStyle w:val="Hypertextovodkaz"/>
                <w:rFonts w:ascii="Aptos" w:eastAsiaTheme="minorHAnsi" w:hAnsi="Aptos"/>
                <w:noProof/>
                <w:webHidden/>
                <w:color w:val="002060"/>
                <w:kern w:val="2"/>
                <w:u w:val="none"/>
                <w:lang w:val="cs-CZ"/>
                <w14:ligatures w14:val="standardContextual"/>
              </w:rPr>
              <w:instrText xml:space="preserve"> PAGEREF _Toc231330682 \h </w:instrText>
            </w:r>
            <w:r w:rsidRPr="00F72499">
              <w:rPr>
                <w:rStyle w:val="Hypertextovodkaz"/>
                <w:rFonts w:ascii="Aptos" w:eastAsiaTheme="minorHAnsi" w:hAnsi="Aptos"/>
                <w:noProof/>
                <w:webHidden/>
                <w:color w:val="002060"/>
                <w:kern w:val="2"/>
                <w:u w:val="none"/>
                <w:lang w:val="cs-CZ"/>
                <w14:ligatures w14:val="standardContextual"/>
              </w:rPr>
            </w:r>
            <w:r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7</w:t>
            </w:r>
            <w:r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00F34FD0" w14:textId="0C28C5AD"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83" w:history="1">
            <w:r w:rsidR="0092591D" w:rsidRPr="00F72499">
              <w:rPr>
                <w:rStyle w:val="Hypertextovodkaz"/>
                <w:rFonts w:ascii="Aptos" w:eastAsiaTheme="minorHAnsi" w:hAnsi="Aptos"/>
                <w:noProof/>
                <w:color w:val="002060"/>
                <w:kern w:val="2"/>
                <w:u w:val="none"/>
                <w:lang w:val="cs-CZ"/>
                <w14:ligatures w14:val="standardContextual"/>
              </w:rPr>
              <w:t>5.1</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Implementace specifického cíle 2.1: Organizace zdravotní péče s důrazem na centralizaci prostřednictvím národních a mezinárodních sítí</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_Toc231330683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7</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11497FE9" w14:textId="5294A300"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84" w:history="1">
            <w:r w:rsidR="0092591D" w:rsidRPr="00F72499">
              <w:rPr>
                <w:rStyle w:val="Hypertextovodkaz"/>
                <w:rFonts w:ascii="Aptos" w:eastAsiaTheme="minorHAnsi" w:hAnsi="Aptos"/>
                <w:noProof/>
                <w:color w:val="002060"/>
                <w:kern w:val="2"/>
                <w:u w:val="none"/>
                <w:lang w:val="cs-CZ"/>
                <w14:ligatures w14:val="standardContextual"/>
              </w:rPr>
              <w:t xml:space="preserve">5.2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Implementace specifického cíle 2.2: Rozvoj zdravotní péče prostřednictvím implementace moderních postupů a technologií</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_Toc231330684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9</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4BBCBA9A" w14:textId="05A32A98" w:rsidR="0092591D" w:rsidRPr="00F72499" w:rsidRDefault="0092591D" w:rsidP="0092591D">
          <w:pPr>
            <w:pStyle w:val="Obsah1"/>
            <w:tabs>
              <w:tab w:val="left" w:pos="480"/>
              <w:tab w:val="right" w:leader="dot" w:pos="9062"/>
            </w:tabs>
            <w:rPr>
              <w:rStyle w:val="Hypertextovodkaz"/>
              <w:rFonts w:ascii="Aptos" w:eastAsiaTheme="minorHAnsi" w:hAnsi="Aptos"/>
              <w:noProof/>
              <w:color w:val="002060"/>
              <w:u w:val="none"/>
              <w:lang w:val="cs-CZ"/>
            </w:rPr>
          </w:pPr>
          <w:hyperlink w:anchor="_Toc231330685" w:history="1">
            <w:r w:rsidRPr="00F72499">
              <w:rPr>
                <w:rStyle w:val="Hypertextovodkaz"/>
                <w:rFonts w:ascii="Aptos" w:eastAsiaTheme="minorHAnsi" w:hAnsi="Aptos"/>
                <w:noProof/>
                <w:color w:val="002060"/>
                <w:kern w:val="2"/>
                <w:u w:val="none"/>
                <w:lang w:val="cs-CZ"/>
                <w14:ligatures w14:val="standardContextual"/>
              </w:rPr>
              <w:t xml:space="preserve">6 </w:t>
            </w:r>
            <w:r w:rsidR="00DC5084" w:rsidRPr="00F72499">
              <w:rPr>
                <w:rStyle w:val="Hypertextovodkaz"/>
                <w:rFonts w:ascii="Aptos" w:eastAsiaTheme="minorHAnsi" w:hAnsi="Aptos"/>
                <w:noProof/>
                <w:color w:val="002060"/>
                <w:kern w:val="2"/>
                <w:u w:val="none"/>
                <w:lang w:val="cs-CZ"/>
                <w14:ligatures w14:val="standardContextual"/>
              </w:rPr>
              <w:t xml:space="preserve">          </w:t>
            </w:r>
            <w:r w:rsidRPr="00F72499">
              <w:rPr>
                <w:rStyle w:val="Hypertextovodkaz"/>
                <w:rFonts w:ascii="Aptos" w:eastAsiaTheme="minorHAnsi" w:hAnsi="Aptos"/>
                <w:noProof/>
                <w:color w:val="002060"/>
                <w:kern w:val="2"/>
                <w:u w:val="none"/>
                <w:lang w:val="cs-CZ"/>
                <w14:ligatures w14:val="standardContextual"/>
              </w:rPr>
              <w:t>Fáze implementace</w:t>
            </w:r>
            <w:r w:rsidRPr="00F72499">
              <w:rPr>
                <w:rStyle w:val="Hypertextovodkaz"/>
                <w:rFonts w:ascii="Aptos" w:eastAsiaTheme="minorHAnsi" w:hAnsi="Aptos"/>
                <w:noProof/>
                <w:webHidden/>
                <w:color w:val="002060"/>
                <w:kern w:val="2"/>
                <w:u w:val="none"/>
                <w:lang w:val="cs-CZ"/>
                <w14:ligatures w14:val="standardContextual"/>
              </w:rPr>
              <w:tab/>
            </w:r>
            <w:r w:rsidRPr="00F72499">
              <w:rPr>
                <w:rStyle w:val="Hypertextovodkaz"/>
                <w:rFonts w:ascii="Aptos" w:eastAsiaTheme="minorHAnsi" w:hAnsi="Aptos"/>
                <w:noProof/>
                <w:webHidden/>
                <w:color w:val="002060"/>
                <w:kern w:val="2"/>
                <w:u w:val="none"/>
                <w:lang w:val="cs-CZ"/>
                <w14:ligatures w14:val="standardContextual"/>
              </w:rPr>
              <w:fldChar w:fldCharType="begin"/>
            </w:r>
            <w:r w:rsidRPr="00F72499">
              <w:rPr>
                <w:rStyle w:val="Hypertextovodkaz"/>
                <w:rFonts w:ascii="Aptos" w:eastAsiaTheme="minorHAnsi" w:hAnsi="Aptos"/>
                <w:noProof/>
                <w:webHidden/>
                <w:color w:val="002060"/>
                <w:kern w:val="2"/>
                <w:u w:val="none"/>
                <w:lang w:val="cs-CZ"/>
                <w14:ligatures w14:val="standardContextual"/>
              </w:rPr>
              <w:instrText xml:space="preserve"> PAGEREF _Toc231330685 \h </w:instrText>
            </w:r>
            <w:r w:rsidRPr="00F72499">
              <w:rPr>
                <w:rStyle w:val="Hypertextovodkaz"/>
                <w:rFonts w:ascii="Aptos" w:eastAsiaTheme="minorHAnsi" w:hAnsi="Aptos"/>
                <w:noProof/>
                <w:webHidden/>
                <w:color w:val="002060"/>
                <w:kern w:val="2"/>
                <w:u w:val="none"/>
                <w:lang w:val="cs-CZ"/>
                <w14:ligatures w14:val="standardContextual"/>
              </w:rPr>
            </w:r>
            <w:r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10</w:t>
            </w:r>
            <w:r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224F8AB0" w14:textId="73FFCD70"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86" w:history="1">
            <w:r w:rsidR="0092591D" w:rsidRPr="00F72499">
              <w:rPr>
                <w:rStyle w:val="Hypertextovodkaz"/>
                <w:rFonts w:ascii="Aptos" w:eastAsiaTheme="minorHAnsi" w:hAnsi="Aptos"/>
                <w:noProof/>
                <w:color w:val="002060"/>
                <w:kern w:val="2"/>
                <w:u w:val="none"/>
                <w:lang w:val="cs-CZ"/>
                <w14:ligatures w14:val="standardContextual"/>
              </w:rPr>
              <w:t>6.1</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 xml:space="preserve"> Implementační fáze 1: 2027–2029</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_Toc231330686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10</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608850E9" w14:textId="3F637649"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87" w:history="1">
            <w:r w:rsidR="0092591D" w:rsidRPr="00F72499">
              <w:rPr>
                <w:rStyle w:val="Hypertextovodkaz"/>
                <w:rFonts w:ascii="Aptos" w:eastAsiaTheme="minorHAnsi" w:hAnsi="Aptos"/>
                <w:noProof/>
                <w:color w:val="002060"/>
                <w:kern w:val="2"/>
                <w:u w:val="none"/>
                <w:lang w:val="cs-CZ"/>
                <w14:ligatures w14:val="standardContextual"/>
              </w:rPr>
              <w:t>6.2</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 xml:space="preserve"> Implementační fáze 2: 2030–2032</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_Toc231330687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13</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6894E5B7" w14:textId="380A81EE" w:rsidR="0092591D" w:rsidRPr="00F72499" w:rsidRDefault="00DC5084" w:rsidP="0092591D">
          <w:pPr>
            <w:pStyle w:val="Obsah1"/>
            <w:tabs>
              <w:tab w:val="left" w:pos="480"/>
              <w:tab w:val="right" w:leader="dot" w:pos="9062"/>
            </w:tabs>
            <w:rPr>
              <w:rStyle w:val="Hypertextovodkaz"/>
              <w:rFonts w:ascii="Aptos" w:eastAsiaTheme="minorHAnsi" w:hAnsi="Aptos"/>
              <w:noProof/>
              <w:color w:val="002060"/>
              <w:u w:val="none"/>
              <w:lang w:val="cs-CZ"/>
            </w:rPr>
          </w:pPr>
          <w:r w:rsidRPr="00F72499">
            <w:rPr>
              <w:rStyle w:val="Hypertextovodkaz"/>
              <w:rFonts w:ascii="Aptos" w:eastAsiaTheme="minorHAnsi" w:hAnsi="Aptos"/>
              <w:noProof/>
              <w:color w:val="002060"/>
              <w:kern w:val="2"/>
              <w:u w:val="none"/>
              <w:lang w:val="cs-CZ"/>
              <w14:ligatures w14:val="standardContextual"/>
            </w:rPr>
            <w:t xml:space="preserve">    </w:t>
          </w:r>
          <w:hyperlink w:anchor="_Toc231330688" w:history="1">
            <w:r w:rsidR="0092591D" w:rsidRPr="00F72499">
              <w:rPr>
                <w:rStyle w:val="Hypertextovodkaz"/>
                <w:rFonts w:ascii="Aptos" w:eastAsiaTheme="minorHAnsi" w:hAnsi="Aptos"/>
                <w:noProof/>
                <w:color w:val="002060"/>
                <w:kern w:val="2"/>
                <w:u w:val="none"/>
                <w:lang w:val="cs-CZ"/>
                <w14:ligatures w14:val="standardContextual"/>
              </w:rPr>
              <w:t xml:space="preserve">6.3 </w:t>
            </w:r>
            <w:r w:rsidRPr="00F72499">
              <w:rPr>
                <w:rStyle w:val="Hypertextovodkaz"/>
                <w:rFonts w:ascii="Aptos" w:eastAsiaTheme="minorHAnsi" w:hAnsi="Aptos"/>
                <w:noProof/>
                <w:color w:val="002060"/>
                <w:kern w:val="2"/>
                <w:u w:val="none"/>
                <w:lang w:val="cs-CZ"/>
                <w14:ligatures w14:val="standardContextual"/>
              </w:rPr>
              <w:t xml:space="preserve">           </w:t>
            </w:r>
            <w:r w:rsidR="0092591D" w:rsidRPr="00F72499">
              <w:rPr>
                <w:rStyle w:val="Hypertextovodkaz"/>
                <w:rFonts w:ascii="Aptos" w:eastAsiaTheme="minorHAnsi" w:hAnsi="Aptos"/>
                <w:noProof/>
                <w:color w:val="002060"/>
                <w:kern w:val="2"/>
                <w:u w:val="none"/>
                <w:lang w:val="cs-CZ"/>
                <w14:ligatures w14:val="standardContextual"/>
              </w:rPr>
              <w:t>Implementační fáze 3: 2033–2035</w:t>
            </w:r>
            <w:r w:rsidR="0092591D" w:rsidRPr="00F72499">
              <w:rPr>
                <w:rStyle w:val="Hypertextovodkaz"/>
                <w:rFonts w:ascii="Aptos" w:eastAsiaTheme="minorHAnsi" w:hAnsi="Aptos"/>
                <w:noProof/>
                <w:webHidden/>
                <w:color w:val="002060"/>
                <w:kern w:val="2"/>
                <w:u w:val="none"/>
                <w:lang w:val="cs-CZ"/>
                <w14:ligatures w14:val="standardContextual"/>
              </w:rPr>
              <w:tab/>
            </w:r>
            <w:r w:rsidR="0092591D" w:rsidRPr="00F72499">
              <w:rPr>
                <w:rStyle w:val="Hypertextovodkaz"/>
                <w:rFonts w:ascii="Aptos" w:eastAsiaTheme="minorHAnsi" w:hAnsi="Aptos"/>
                <w:noProof/>
                <w:webHidden/>
                <w:color w:val="002060"/>
                <w:kern w:val="2"/>
                <w:u w:val="none"/>
                <w:lang w:val="cs-CZ"/>
                <w14:ligatures w14:val="standardContextual"/>
              </w:rPr>
              <w:fldChar w:fldCharType="begin"/>
            </w:r>
            <w:r w:rsidR="0092591D" w:rsidRPr="00F72499">
              <w:rPr>
                <w:rStyle w:val="Hypertextovodkaz"/>
                <w:rFonts w:ascii="Aptos" w:eastAsiaTheme="minorHAnsi" w:hAnsi="Aptos"/>
                <w:noProof/>
                <w:webHidden/>
                <w:color w:val="002060"/>
                <w:kern w:val="2"/>
                <w:u w:val="none"/>
                <w:lang w:val="cs-CZ"/>
                <w14:ligatures w14:val="standardContextual"/>
              </w:rPr>
              <w:instrText xml:space="preserve"> PAGEREF _Toc231330688 \h </w:instrText>
            </w:r>
            <w:r w:rsidR="0092591D" w:rsidRPr="00F72499">
              <w:rPr>
                <w:rStyle w:val="Hypertextovodkaz"/>
                <w:rFonts w:ascii="Aptos" w:eastAsiaTheme="minorHAnsi" w:hAnsi="Aptos"/>
                <w:noProof/>
                <w:webHidden/>
                <w:color w:val="002060"/>
                <w:kern w:val="2"/>
                <w:u w:val="none"/>
                <w:lang w:val="cs-CZ"/>
                <w14:ligatures w14:val="standardContextual"/>
              </w:rPr>
            </w:r>
            <w:r w:rsidR="0092591D" w:rsidRPr="00F72499">
              <w:rPr>
                <w:rStyle w:val="Hypertextovodkaz"/>
                <w:rFonts w:ascii="Aptos" w:eastAsiaTheme="minorHAnsi" w:hAnsi="Aptos"/>
                <w:noProof/>
                <w:webHidden/>
                <w:color w:val="002060"/>
                <w:kern w:val="2"/>
                <w:u w:val="none"/>
                <w:lang w:val="cs-CZ"/>
                <w14:ligatures w14:val="standardContextual"/>
              </w:rPr>
              <w:fldChar w:fldCharType="separate"/>
            </w:r>
            <w:r w:rsidR="00743899">
              <w:rPr>
                <w:rStyle w:val="Hypertextovodkaz"/>
                <w:rFonts w:ascii="Aptos" w:eastAsiaTheme="minorHAnsi" w:hAnsi="Aptos"/>
                <w:noProof/>
                <w:webHidden/>
                <w:color w:val="002060"/>
                <w:kern w:val="2"/>
                <w:u w:val="none"/>
                <w:lang w:val="cs-CZ"/>
                <w14:ligatures w14:val="standardContextual"/>
              </w:rPr>
              <w:t>14</w:t>
            </w:r>
            <w:r w:rsidR="0092591D" w:rsidRPr="00F72499">
              <w:rPr>
                <w:rStyle w:val="Hypertextovodkaz"/>
                <w:rFonts w:ascii="Aptos" w:eastAsiaTheme="minorHAnsi" w:hAnsi="Aptos"/>
                <w:noProof/>
                <w:webHidden/>
                <w:color w:val="002060"/>
                <w:kern w:val="2"/>
                <w:u w:val="none"/>
                <w:lang w:val="cs-CZ"/>
                <w14:ligatures w14:val="standardContextual"/>
              </w:rPr>
              <w:fldChar w:fldCharType="end"/>
            </w:r>
          </w:hyperlink>
        </w:p>
        <w:p w14:paraId="333D8CFA" w14:textId="2FEC3739" w:rsidR="0092591D" w:rsidRPr="00F72499" w:rsidRDefault="0092591D" w:rsidP="0092591D">
          <w:pPr>
            <w:pStyle w:val="Obsah1"/>
            <w:tabs>
              <w:tab w:val="left" w:pos="480"/>
              <w:tab w:val="right" w:leader="dot" w:pos="9062"/>
            </w:tabs>
            <w:rPr>
              <w:rStyle w:val="Hypertextovodkaz"/>
              <w:rFonts w:ascii="Aptos" w:eastAsiaTheme="minorHAnsi" w:hAnsi="Aptos"/>
              <w:noProof/>
              <w:color w:val="002060"/>
              <w:lang w:val="cs-CZ"/>
            </w:rPr>
          </w:pPr>
          <w:hyperlink w:anchor="_Toc231330689" w:history="1">
            <w:r w:rsidRPr="00F72499">
              <w:rPr>
                <w:rStyle w:val="Hypertextovodkaz"/>
                <w:rFonts w:ascii="Aptos" w:eastAsiaTheme="minorHAnsi" w:hAnsi="Aptos"/>
                <w:noProof/>
                <w:color w:val="002060"/>
                <w:kern w:val="2"/>
                <w:lang w:val="cs-CZ"/>
                <w14:ligatures w14:val="standardContextual"/>
              </w:rPr>
              <w:t>7</w:t>
            </w:r>
            <w:r w:rsidRPr="00F72499">
              <w:rPr>
                <w:rStyle w:val="Hypertextovodkaz"/>
                <w:rFonts w:ascii="Aptos" w:eastAsiaTheme="minorHAnsi" w:hAnsi="Aptos"/>
                <w:noProof/>
                <w:color w:val="002060"/>
                <w:lang w:val="cs-CZ"/>
              </w:rPr>
              <w:tab/>
            </w:r>
            <w:r w:rsidR="00DC5084" w:rsidRPr="00F72499">
              <w:rPr>
                <w:rStyle w:val="Hypertextovodkaz"/>
                <w:rFonts w:ascii="Aptos" w:eastAsiaTheme="minorHAnsi" w:hAnsi="Aptos"/>
                <w:noProof/>
                <w:color w:val="002060"/>
                <w:lang w:val="cs-CZ"/>
              </w:rPr>
              <w:t xml:space="preserve">  </w:t>
            </w:r>
            <w:r w:rsidRPr="00F72499">
              <w:rPr>
                <w:rStyle w:val="Hypertextovodkaz"/>
                <w:rFonts w:ascii="Aptos" w:eastAsiaTheme="minorHAnsi" w:hAnsi="Aptos"/>
                <w:noProof/>
                <w:color w:val="002060"/>
                <w:kern w:val="2"/>
                <w:lang w:val="cs-CZ"/>
                <w14:ligatures w14:val="standardContextual"/>
              </w:rPr>
              <w:t>Indikátory</w:t>
            </w:r>
            <w:r w:rsidRPr="00F72499">
              <w:rPr>
                <w:rStyle w:val="Hypertextovodkaz"/>
                <w:rFonts w:ascii="Aptos" w:eastAsiaTheme="minorHAnsi" w:hAnsi="Aptos"/>
                <w:noProof/>
                <w:webHidden/>
                <w:color w:val="002060"/>
                <w:kern w:val="2"/>
                <w:lang w:val="cs-CZ"/>
                <w14:ligatures w14:val="standardContextual"/>
              </w:rPr>
              <w:tab/>
            </w:r>
            <w:r w:rsidRPr="00F72499">
              <w:rPr>
                <w:rStyle w:val="Hypertextovodkaz"/>
                <w:rFonts w:ascii="Aptos" w:eastAsiaTheme="minorHAnsi" w:hAnsi="Aptos"/>
                <w:noProof/>
                <w:webHidden/>
                <w:color w:val="002060"/>
                <w:kern w:val="2"/>
                <w:lang w:val="cs-CZ"/>
                <w14:ligatures w14:val="standardContextual"/>
              </w:rPr>
              <w:fldChar w:fldCharType="begin"/>
            </w:r>
            <w:r w:rsidRPr="00F72499">
              <w:rPr>
                <w:rStyle w:val="Hypertextovodkaz"/>
                <w:rFonts w:ascii="Aptos" w:eastAsiaTheme="minorHAnsi" w:hAnsi="Aptos"/>
                <w:noProof/>
                <w:webHidden/>
                <w:color w:val="002060"/>
                <w:kern w:val="2"/>
                <w:lang w:val="cs-CZ"/>
                <w14:ligatures w14:val="standardContextual"/>
              </w:rPr>
              <w:instrText xml:space="preserve"> PAGEREF _Toc231330689 \h </w:instrText>
            </w:r>
            <w:r w:rsidRPr="00F72499">
              <w:rPr>
                <w:rStyle w:val="Hypertextovodkaz"/>
                <w:rFonts w:ascii="Aptos" w:eastAsiaTheme="minorHAnsi" w:hAnsi="Aptos"/>
                <w:noProof/>
                <w:webHidden/>
                <w:color w:val="002060"/>
                <w:kern w:val="2"/>
                <w:lang w:val="cs-CZ"/>
                <w14:ligatures w14:val="standardContextual"/>
              </w:rPr>
            </w:r>
            <w:r w:rsidRPr="00F72499">
              <w:rPr>
                <w:rStyle w:val="Hypertextovodkaz"/>
                <w:rFonts w:ascii="Aptos" w:eastAsiaTheme="minorHAnsi" w:hAnsi="Aptos"/>
                <w:noProof/>
                <w:webHidden/>
                <w:color w:val="002060"/>
                <w:kern w:val="2"/>
                <w:lang w:val="cs-CZ"/>
                <w14:ligatures w14:val="standardContextual"/>
              </w:rPr>
              <w:fldChar w:fldCharType="separate"/>
            </w:r>
            <w:r w:rsidR="00743899">
              <w:rPr>
                <w:rStyle w:val="Hypertextovodkaz"/>
                <w:rFonts w:ascii="Aptos" w:eastAsiaTheme="minorHAnsi" w:hAnsi="Aptos"/>
                <w:noProof/>
                <w:webHidden/>
                <w:color w:val="002060"/>
                <w:kern w:val="2"/>
                <w:lang w:val="cs-CZ"/>
                <w14:ligatures w14:val="standardContextual"/>
              </w:rPr>
              <w:t>14</w:t>
            </w:r>
            <w:r w:rsidRPr="00F72499">
              <w:rPr>
                <w:rStyle w:val="Hypertextovodkaz"/>
                <w:rFonts w:ascii="Aptos" w:eastAsiaTheme="minorHAnsi" w:hAnsi="Aptos"/>
                <w:noProof/>
                <w:webHidden/>
                <w:color w:val="002060"/>
                <w:kern w:val="2"/>
                <w:lang w:val="cs-CZ"/>
                <w14:ligatures w14:val="standardContextual"/>
              </w:rPr>
              <w:fldChar w:fldCharType="end"/>
            </w:r>
          </w:hyperlink>
        </w:p>
        <w:p w14:paraId="523252CF" w14:textId="5B561116" w:rsidR="00BD0806" w:rsidRPr="00F72499" w:rsidRDefault="00BD0806" w:rsidP="0092591D">
          <w:pPr>
            <w:pStyle w:val="Obsah1"/>
            <w:tabs>
              <w:tab w:val="left" w:pos="480"/>
              <w:tab w:val="right" w:leader="dot" w:pos="9062"/>
            </w:tabs>
            <w:rPr>
              <w:lang w:val="cs-CZ"/>
            </w:rPr>
          </w:pPr>
          <w:r w:rsidRPr="00F72499">
            <w:rPr>
              <w:rStyle w:val="Hypertextovodkaz"/>
              <w:rFonts w:ascii="Aptos" w:eastAsiaTheme="minorHAnsi" w:hAnsi="Aptos"/>
              <w:color w:val="002060"/>
              <w:kern w:val="2"/>
              <w:lang w:val="cs-CZ"/>
              <w14:ligatures w14:val="standardContextual"/>
            </w:rPr>
            <w:fldChar w:fldCharType="end"/>
          </w:r>
        </w:p>
      </w:sdtContent>
    </w:sdt>
    <w:p w14:paraId="6C80A062" w14:textId="41FE7427" w:rsidR="00675A93" w:rsidRPr="00F72499" w:rsidRDefault="00675A93">
      <w:pPr>
        <w:rPr>
          <w:rFonts w:ascii="Aptos" w:hAnsi="Aptos"/>
          <w:color w:val="002060"/>
          <w:sz w:val="22"/>
          <w:szCs w:val="22"/>
        </w:rPr>
      </w:pPr>
    </w:p>
    <w:p w14:paraId="59BACB84" w14:textId="74D18B7F" w:rsidR="00E90A3A" w:rsidRPr="00F72499" w:rsidRDefault="00E90A3A">
      <w:pPr>
        <w:spacing w:after="200"/>
        <w:rPr>
          <w:rFonts w:ascii="Aptos" w:hAnsi="Aptos"/>
          <w:color w:val="002060"/>
          <w:sz w:val="22"/>
          <w:szCs w:val="22"/>
        </w:rPr>
      </w:pPr>
      <w:r w:rsidRPr="00F72499">
        <w:rPr>
          <w:rFonts w:ascii="Aptos" w:hAnsi="Aptos"/>
          <w:color w:val="002060"/>
          <w:sz w:val="22"/>
          <w:szCs w:val="22"/>
        </w:rPr>
        <w:br w:type="page"/>
      </w:r>
    </w:p>
    <w:p w14:paraId="7F5E3D82" w14:textId="4C9CE830" w:rsidR="00E90A3A" w:rsidRPr="00F72499" w:rsidRDefault="00E90A3A" w:rsidP="00E90A3A">
      <w:pPr>
        <w:spacing w:after="200"/>
        <w:rPr>
          <w:rFonts w:ascii="Aptos" w:hAnsi="Aptos"/>
          <w:b/>
          <w:bCs/>
          <w:color w:val="002060"/>
          <w:sz w:val="28"/>
          <w:szCs w:val="28"/>
        </w:rPr>
      </w:pPr>
      <w:r w:rsidRPr="00F72499">
        <w:rPr>
          <w:rFonts w:ascii="Aptos" w:hAnsi="Aptos"/>
          <w:b/>
          <w:bCs/>
          <w:color w:val="002060"/>
          <w:sz w:val="28"/>
          <w:szCs w:val="28"/>
        </w:rPr>
        <w:lastRenderedPageBreak/>
        <w:t>Seznam zkratek</w:t>
      </w:r>
    </w:p>
    <w:p w14:paraId="5D6A99CA"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CPMS – Clinical Patient Management System</w:t>
      </w:r>
    </w:p>
    <w:p w14:paraId="5D9AB412"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CVSP-VO – Centrum vysoce specializované péče pro pacienty se vzácnými onemocněními</w:t>
      </w:r>
    </w:p>
    <w:p w14:paraId="12FB00A4"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ERN – Evropská referenční síť (European Reference Network)</w:t>
      </w:r>
    </w:p>
    <w:p w14:paraId="42544ED9"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eHealth – Elektronické zdravotnictví</w:t>
      </w:r>
    </w:p>
    <w:p w14:paraId="3761A84F"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 xml:space="preserve">HTA – </w:t>
      </w:r>
      <w:proofErr w:type="spellStart"/>
      <w:r w:rsidRPr="00F72499">
        <w:rPr>
          <w:rFonts w:ascii="Aptos" w:hAnsi="Aptos"/>
          <w:color w:val="002060"/>
          <w:sz w:val="24"/>
          <w:szCs w:val="24"/>
        </w:rPr>
        <w:t>Health</w:t>
      </w:r>
      <w:proofErr w:type="spellEnd"/>
      <w:r w:rsidRPr="00F72499">
        <w:rPr>
          <w:rFonts w:ascii="Aptos" w:hAnsi="Aptos"/>
          <w:color w:val="002060"/>
          <w:sz w:val="24"/>
          <w:szCs w:val="24"/>
        </w:rPr>
        <w:t xml:space="preserve"> Technology </w:t>
      </w:r>
      <w:proofErr w:type="spellStart"/>
      <w:r w:rsidRPr="00F72499">
        <w:rPr>
          <w:rFonts w:ascii="Aptos" w:hAnsi="Aptos"/>
          <w:color w:val="002060"/>
          <w:sz w:val="24"/>
          <w:szCs w:val="24"/>
        </w:rPr>
        <w:t>Assessment</w:t>
      </w:r>
      <w:proofErr w:type="spellEnd"/>
      <w:r w:rsidRPr="00F72499">
        <w:rPr>
          <w:rFonts w:ascii="Aptos" w:hAnsi="Aptos"/>
          <w:color w:val="002060"/>
          <w:sz w:val="24"/>
          <w:szCs w:val="24"/>
        </w:rPr>
        <w:t xml:space="preserve"> (hodnocení zdravotnických technologií)</w:t>
      </w:r>
    </w:p>
    <w:p w14:paraId="3882B17F"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IP2 – Implementační plán strategického cíle č. 2</w:t>
      </w:r>
    </w:p>
    <w:p w14:paraId="08E023F7"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 xml:space="preserve">JARDIN – Joint </w:t>
      </w:r>
      <w:proofErr w:type="spellStart"/>
      <w:r w:rsidRPr="00F72499">
        <w:rPr>
          <w:rFonts w:ascii="Aptos" w:hAnsi="Aptos"/>
          <w:color w:val="002060"/>
          <w:sz w:val="24"/>
          <w:szCs w:val="24"/>
        </w:rPr>
        <w:t>Action</w:t>
      </w:r>
      <w:proofErr w:type="spellEnd"/>
      <w:r w:rsidRPr="00F72499">
        <w:rPr>
          <w:rFonts w:ascii="Aptos" w:hAnsi="Aptos"/>
          <w:color w:val="002060"/>
          <w:sz w:val="24"/>
          <w:szCs w:val="24"/>
        </w:rPr>
        <w:t xml:space="preserve"> on </w:t>
      </w:r>
      <w:proofErr w:type="spellStart"/>
      <w:r w:rsidRPr="00F72499">
        <w:rPr>
          <w:rFonts w:ascii="Aptos" w:hAnsi="Aptos"/>
          <w:color w:val="002060"/>
          <w:sz w:val="24"/>
          <w:szCs w:val="24"/>
        </w:rPr>
        <w:t>Integration</w:t>
      </w:r>
      <w:proofErr w:type="spellEnd"/>
      <w:r w:rsidRPr="00F72499">
        <w:rPr>
          <w:rFonts w:ascii="Aptos" w:hAnsi="Aptos"/>
          <w:color w:val="002060"/>
          <w:sz w:val="24"/>
          <w:szCs w:val="24"/>
        </w:rPr>
        <w:t xml:space="preserve"> </w:t>
      </w:r>
      <w:proofErr w:type="spellStart"/>
      <w:r w:rsidRPr="00F72499">
        <w:rPr>
          <w:rFonts w:ascii="Aptos" w:hAnsi="Aptos"/>
          <w:color w:val="002060"/>
          <w:sz w:val="24"/>
          <w:szCs w:val="24"/>
        </w:rPr>
        <w:t>of</w:t>
      </w:r>
      <w:proofErr w:type="spellEnd"/>
      <w:r w:rsidRPr="00F72499">
        <w:rPr>
          <w:rFonts w:ascii="Aptos" w:hAnsi="Aptos"/>
          <w:color w:val="002060"/>
          <w:sz w:val="24"/>
          <w:szCs w:val="24"/>
        </w:rPr>
        <w:t xml:space="preserve"> European Reference </w:t>
      </w:r>
      <w:proofErr w:type="spellStart"/>
      <w:r w:rsidRPr="00F72499">
        <w:rPr>
          <w:rFonts w:ascii="Aptos" w:hAnsi="Aptos"/>
          <w:color w:val="002060"/>
          <w:sz w:val="24"/>
          <w:szCs w:val="24"/>
        </w:rPr>
        <w:t>Networks</w:t>
      </w:r>
      <w:proofErr w:type="spellEnd"/>
      <w:r w:rsidRPr="00F72499">
        <w:rPr>
          <w:rFonts w:ascii="Aptos" w:hAnsi="Aptos"/>
          <w:color w:val="002060"/>
          <w:sz w:val="24"/>
          <w:szCs w:val="24"/>
        </w:rPr>
        <w:t xml:space="preserve"> </w:t>
      </w:r>
      <w:proofErr w:type="spellStart"/>
      <w:r w:rsidRPr="00F72499">
        <w:rPr>
          <w:rFonts w:ascii="Aptos" w:hAnsi="Aptos"/>
          <w:color w:val="002060"/>
          <w:sz w:val="24"/>
          <w:szCs w:val="24"/>
        </w:rPr>
        <w:t>into</w:t>
      </w:r>
      <w:proofErr w:type="spellEnd"/>
      <w:r w:rsidRPr="00F72499">
        <w:rPr>
          <w:rFonts w:ascii="Aptos" w:hAnsi="Aptos"/>
          <w:color w:val="002060"/>
          <w:sz w:val="24"/>
          <w:szCs w:val="24"/>
        </w:rPr>
        <w:t xml:space="preserve"> National </w:t>
      </w:r>
      <w:proofErr w:type="spellStart"/>
      <w:r w:rsidRPr="00F72499">
        <w:rPr>
          <w:rFonts w:ascii="Aptos" w:hAnsi="Aptos"/>
          <w:color w:val="002060"/>
          <w:sz w:val="24"/>
          <w:szCs w:val="24"/>
        </w:rPr>
        <w:t>Healthcare</w:t>
      </w:r>
      <w:proofErr w:type="spellEnd"/>
      <w:r w:rsidRPr="00F72499">
        <w:rPr>
          <w:rFonts w:ascii="Aptos" w:hAnsi="Aptos"/>
          <w:color w:val="002060"/>
          <w:sz w:val="24"/>
          <w:szCs w:val="24"/>
        </w:rPr>
        <w:t xml:space="preserve"> Systems</w:t>
      </w:r>
    </w:p>
    <w:p w14:paraId="19D07181"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MDT – Multidisciplinární tým</w:t>
      </w:r>
    </w:p>
    <w:p w14:paraId="6C9F333C"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MEKOVO – Mezioborová komise pro vzácná onemocnění</w:t>
      </w:r>
    </w:p>
    <w:p w14:paraId="327D68AD"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MPSV – Ministerstvo práce a sociálních věcí České republiky</w:t>
      </w:r>
    </w:p>
    <w:p w14:paraId="102593A3"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MZ ČR – Ministerstvo zdravotnictví České republiky</w:t>
      </w:r>
    </w:p>
    <w:p w14:paraId="0C9D7F14"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NIS – Nemocniční informační systém</w:t>
      </w:r>
    </w:p>
    <w:p w14:paraId="1120D1D9"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NRVO – Národní registr vzácných onemocnění</w:t>
      </w:r>
    </w:p>
    <w:p w14:paraId="331F326C"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NSVO – Národní strategie pro vzácná onemocnění 2026–2035</w:t>
      </w:r>
    </w:p>
    <w:p w14:paraId="4EDE22BD"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NZIS – Národní zdravotnický informační systém</w:t>
      </w:r>
    </w:p>
    <w:p w14:paraId="3AE78DC5"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OPP – Oddělení podpory práv pacientů</w:t>
      </w:r>
    </w:p>
    <w:p w14:paraId="603681A0"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ORPHA – Systém klasifikace a kódování vzácných onemocnění Orphanet</w:t>
      </w:r>
    </w:p>
    <w:p w14:paraId="2617C6C5" w14:textId="77777777" w:rsidR="00E90A3A" w:rsidRPr="00F72499" w:rsidRDefault="00E90A3A" w:rsidP="00DC5084">
      <w:pPr>
        <w:spacing w:after="200" w:line="240" w:lineRule="auto"/>
        <w:rPr>
          <w:rFonts w:ascii="Aptos" w:hAnsi="Aptos"/>
          <w:color w:val="002060"/>
          <w:sz w:val="24"/>
          <w:szCs w:val="24"/>
        </w:rPr>
      </w:pPr>
      <w:r w:rsidRPr="5604E761">
        <w:rPr>
          <w:rFonts w:ascii="Aptos" w:hAnsi="Aptos"/>
          <w:color w:val="002060"/>
          <w:sz w:val="24"/>
          <w:szCs w:val="24"/>
        </w:rPr>
        <w:t>OZP – Odbor zdravotní péče</w:t>
      </w:r>
    </w:p>
    <w:p w14:paraId="669ADDE5" w14:textId="7F9D7C9E" w:rsidR="47480AE6" w:rsidRDefault="47480AE6" w:rsidP="5604E761">
      <w:pPr>
        <w:spacing w:after="200" w:line="240" w:lineRule="auto"/>
        <w:rPr>
          <w:rFonts w:ascii="Aptos" w:hAnsi="Aptos"/>
          <w:color w:val="002060"/>
          <w:sz w:val="24"/>
          <w:szCs w:val="24"/>
        </w:rPr>
      </w:pPr>
      <w:r w:rsidRPr="5604E761">
        <w:rPr>
          <w:rFonts w:asciiTheme="minorHAnsi" w:eastAsiaTheme="minorEastAsia" w:hAnsiTheme="minorHAnsi"/>
          <w:color w:val="002060"/>
          <w:sz w:val="24"/>
          <w:szCs w:val="24"/>
        </w:rPr>
        <w:t>Poradní orgán pro ORPHAN léčiva – Poradní orgán pro úhradu léčiv určených k léčbě vzácných onemocnění</w:t>
      </w:r>
    </w:p>
    <w:p w14:paraId="79313FC4"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 xml:space="preserve">RWE – Real </w:t>
      </w:r>
      <w:proofErr w:type="spellStart"/>
      <w:r w:rsidRPr="00F72499">
        <w:rPr>
          <w:rFonts w:ascii="Aptos" w:hAnsi="Aptos"/>
          <w:color w:val="002060"/>
          <w:sz w:val="24"/>
          <w:szCs w:val="24"/>
        </w:rPr>
        <w:t>World</w:t>
      </w:r>
      <w:proofErr w:type="spellEnd"/>
      <w:r w:rsidRPr="00F72499">
        <w:rPr>
          <w:rFonts w:ascii="Aptos" w:hAnsi="Aptos"/>
          <w:color w:val="002060"/>
          <w:sz w:val="24"/>
          <w:szCs w:val="24"/>
        </w:rPr>
        <w:t xml:space="preserve"> Evidence</w:t>
      </w:r>
    </w:p>
    <w:p w14:paraId="716837FD"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SC – Specifický cíl</w:t>
      </w:r>
    </w:p>
    <w:p w14:paraId="4638D36E"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SYPOVO – Návrh systému komplexní sdílené zdravotně-sociální péče o pacienty se vzácnými onemocněními</w:t>
      </w:r>
    </w:p>
    <w:p w14:paraId="0D13F9CE" w14:textId="77777777" w:rsidR="00E90A3A" w:rsidRPr="00F72499" w:rsidRDefault="00E90A3A" w:rsidP="00DC5084">
      <w:pPr>
        <w:spacing w:after="200" w:line="240" w:lineRule="auto"/>
        <w:rPr>
          <w:rFonts w:ascii="Aptos" w:hAnsi="Aptos"/>
          <w:color w:val="002060"/>
          <w:sz w:val="24"/>
          <w:szCs w:val="24"/>
        </w:rPr>
      </w:pPr>
      <w:r w:rsidRPr="00F72499">
        <w:rPr>
          <w:rFonts w:ascii="Aptos" w:hAnsi="Aptos"/>
          <w:color w:val="002060"/>
          <w:sz w:val="24"/>
          <w:szCs w:val="24"/>
        </w:rPr>
        <w:t>ÚZIS ČR – Ústav zdravotnických informací a statistiky České republiky</w:t>
      </w:r>
    </w:p>
    <w:p w14:paraId="52631B51" w14:textId="77777777" w:rsidR="00E90A3A" w:rsidRPr="00F72499" w:rsidRDefault="00E90A3A" w:rsidP="00DC5084">
      <w:pPr>
        <w:spacing w:after="200" w:line="240" w:lineRule="auto"/>
        <w:rPr>
          <w:rFonts w:ascii="Aptos" w:hAnsi="Aptos"/>
          <w:color w:val="002060"/>
          <w:sz w:val="24"/>
          <w:szCs w:val="24"/>
        </w:rPr>
      </w:pPr>
      <w:r w:rsidRPr="5604E761">
        <w:rPr>
          <w:rFonts w:ascii="Aptos" w:hAnsi="Aptos"/>
          <w:color w:val="002060"/>
          <w:sz w:val="24"/>
          <w:szCs w:val="24"/>
        </w:rPr>
        <w:t>VO – Vzácné onemocnění</w:t>
      </w:r>
    </w:p>
    <w:p w14:paraId="50835A6E" w14:textId="311BE5BF" w:rsidR="5604E761" w:rsidRDefault="5604E761" w:rsidP="5604E761">
      <w:pPr>
        <w:spacing w:after="200" w:line="240" w:lineRule="auto"/>
        <w:rPr>
          <w:rFonts w:ascii="Aptos" w:hAnsi="Aptos"/>
          <w:color w:val="002060"/>
          <w:sz w:val="24"/>
          <w:szCs w:val="24"/>
        </w:rPr>
      </w:pPr>
    </w:p>
    <w:p w14:paraId="25E16B51" w14:textId="77777777" w:rsidR="00E90A3A" w:rsidRPr="00F72499" w:rsidRDefault="00E90A3A">
      <w:pPr>
        <w:spacing w:after="200"/>
        <w:rPr>
          <w:rFonts w:ascii="Aptos" w:hAnsi="Aptos"/>
          <w:color w:val="002060"/>
          <w:sz w:val="22"/>
          <w:szCs w:val="22"/>
        </w:rPr>
      </w:pPr>
    </w:p>
    <w:p w14:paraId="02457F8C" w14:textId="77777777" w:rsidR="00612096" w:rsidRPr="00F72499" w:rsidRDefault="00612096">
      <w:pPr>
        <w:spacing w:after="200"/>
        <w:rPr>
          <w:rFonts w:ascii="Aptos" w:hAnsi="Aptos"/>
          <w:color w:val="002060"/>
          <w:sz w:val="22"/>
          <w:szCs w:val="22"/>
        </w:rPr>
      </w:pPr>
    </w:p>
    <w:p w14:paraId="695BEF5B" w14:textId="5C977896" w:rsidR="7183C63B" w:rsidRPr="00F72499" w:rsidRDefault="7183C63B" w:rsidP="00BD0806">
      <w:pPr>
        <w:spacing w:after="160" w:line="259" w:lineRule="auto"/>
        <w:jc w:val="center"/>
        <w:rPr>
          <w:rFonts w:ascii="Aptos" w:eastAsiaTheme="minorHAnsi" w:hAnsi="Aptos"/>
          <w:b/>
          <w:bCs/>
          <w:color w:val="002060"/>
          <w:kern w:val="2"/>
          <w:sz w:val="48"/>
          <w:szCs w:val="48"/>
          <w14:ligatures w14:val="standardContextual"/>
        </w:rPr>
      </w:pPr>
      <w:r w:rsidRPr="00F72499">
        <w:rPr>
          <w:rFonts w:ascii="Aptos" w:eastAsiaTheme="minorHAnsi" w:hAnsi="Aptos"/>
          <w:b/>
          <w:bCs/>
          <w:color w:val="002060"/>
          <w:kern w:val="2"/>
          <w:sz w:val="48"/>
          <w:szCs w:val="48"/>
          <w14:ligatures w14:val="standardContextual"/>
        </w:rPr>
        <w:t>Implementační plán 2 NSVO 2026–2035</w:t>
      </w:r>
    </w:p>
    <w:p w14:paraId="30D386F7" w14:textId="11C51B54" w:rsidR="7183C63B" w:rsidRPr="00F72499" w:rsidRDefault="7183C63B" w:rsidP="00BD0806">
      <w:pPr>
        <w:spacing w:after="160" w:line="259" w:lineRule="auto"/>
        <w:jc w:val="center"/>
        <w:rPr>
          <w:rFonts w:ascii="Aptos" w:eastAsiaTheme="minorHAnsi" w:hAnsi="Aptos"/>
          <w:b/>
          <w:bCs/>
          <w:color w:val="002060"/>
          <w:kern w:val="2"/>
          <w:sz w:val="28"/>
          <w:szCs w:val="28"/>
          <w14:ligatures w14:val="standardContextual"/>
        </w:rPr>
      </w:pPr>
      <w:r w:rsidRPr="00F72499">
        <w:rPr>
          <w:rFonts w:ascii="Aptos" w:eastAsiaTheme="minorHAnsi" w:hAnsi="Aptos"/>
          <w:b/>
          <w:bCs/>
          <w:color w:val="002060"/>
          <w:kern w:val="2"/>
          <w:sz w:val="28"/>
          <w:szCs w:val="28"/>
          <w14:ligatures w14:val="standardContextual"/>
        </w:rPr>
        <w:t>Strategický cíl 2: Zvýšení efektivity a kvality zdravotní péče</w:t>
      </w:r>
    </w:p>
    <w:p w14:paraId="0AD863EC" w14:textId="77777777" w:rsidR="00BD0806" w:rsidRPr="00F72499" w:rsidRDefault="00BD0806" w:rsidP="00003B62">
      <w:pPr>
        <w:rPr>
          <w:rFonts w:ascii="Aptos" w:eastAsiaTheme="minorHAnsi" w:hAnsi="Aptos"/>
          <w:i/>
          <w:iCs/>
          <w:color w:val="002060"/>
          <w:kern w:val="2"/>
          <w:sz w:val="22"/>
          <w:szCs w:val="22"/>
          <w14:ligatures w14:val="standardContextual"/>
        </w:rPr>
      </w:pPr>
    </w:p>
    <w:p w14:paraId="3076980F" w14:textId="7D8FA5CB" w:rsidR="7183C63B" w:rsidRPr="00F72499" w:rsidRDefault="7183C63B" w:rsidP="00003B62">
      <w:pPr>
        <w:rPr>
          <w:rFonts w:ascii="Aptos" w:eastAsiaTheme="minorHAnsi" w:hAnsi="Aptos"/>
          <w:i/>
          <w:iCs/>
          <w:color w:val="002060"/>
          <w:kern w:val="2"/>
          <w:sz w:val="22"/>
          <w:szCs w:val="22"/>
          <w14:ligatures w14:val="standardContextual"/>
        </w:rPr>
      </w:pPr>
      <w:r w:rsidRPr="00F72499">
        <w:rPr>
          <w:rFonts w:ascii="Aptos" w:eastAsiaTheme="minorHAnsi" w:hAnsi="Aptos"/>
          <w:i/>
          <w:iCs/>
          <w:color w:val="002060"/>
          <w:kern w:val="2"/>
          <w:sz w:val="22"/>
          <w:szCs w:val="22"/>
          <w14:ligatures w14:val="standardContextual"/>
        </w:rPr>
        <w:t>Zvýšení efektivity a kvality zdravotní péče</w:t>
      </w:r>
    </w:p>
    <w:p w14:paraId="3E366680" w14:textId="48070734" w:rsidR="00BD0806" w:rsidRPr="00F72499" w:rsidRDefault="00B6308B" w:rsidP="00003B62">
      <w:r w:rsidRPr="00F72499">
        <w:rPr>
          <w:noProof/>
        </w:rPr>
        <w:drawing>
          <wp:inline distT="0" distB="0" distL="0" distR="0" wp14:anchorId="6F3A2C5F" wp14:editId="0ECBB549">
            <wp:extent cx="5868000" cy="1524630"/>
            <wp:effectExtent l="0" t="0" r="0" b="0"/>
            <wp:docPr id="1277458306"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458306" name="Obrázek 1277458306"/>
                    <pic:cNvPicPr/>
                  </pic:nvPicPr>
                  <pic:blipFill>
                    <a:blip r:embed="rId8"/>
                    <a:stretch>
                      <a:fillRect/>
                    </a:stretch>
                  </pic:blipFill>
                  <pic:spPr>
                    <a:xfrm>
                      <a:off x="0" y="0"/>
                      <a:ext cx="5868000" cy="1524630"/>
                    </a:xfrm>
                    <a:prstGeom prst="rect">
                      <a:avLst/>
                    </a:prstGeom>
                  </pic:spPr>
                </pic:pic>
              </a:graphicData>
            </a:graphic>
          </wp:inline>
        </w:drawing>
      </w:r>
    </w:p>
    <w:p w14:paraId="6A24DF81" w14:textId="77777777" w:rsidR="00873D37" w:rsidRPr="00F72499" w:rsidRDefault="00C05BF8" w:rsidP="0092591D">
      <w:pPr>
        <w:pStyle w:val="Nadpis1"/>
        <w:spacing w:before="360" w:after="80" w:line="259" w:lineRule="auto"/>
        <w:ind w:left="432" w:hanging="432"/>
        <w:rPr>
          <w:rFonts w:ascii="Aptos" w:hAnsi="Aptos"/>
          <w:b w:val="0"/>
          <w:bCs w:val="0"/>
          <w:color w:val="002060"/>
          <w:kern w:val="2"/>
          <w:sz w:val="40"/>
          <w:szCs w:val="40"/>
          <w:lang w:val="cs-CZ"/>
          <w14:ligatures w14:val="standardContextual"/>
        </w:rPr>
      </w:pPr>
      <w:bookmarkStart w:id="0" w:name="_Toc231330672"/>
      <w:r w:rsidRPr="00F72499">
        <w:rPr>
          <w:rFonts w:ascii="Aptos" w:hAnsi="Aptos"/>
          <w:b w:val="0"/>
          <w:bCs w:val="0"/>
          <w:color w:val="002060"/>
          <w:kern w:val="2"/>
          <w:sz w:val="40"/>
          <w:szCs w:val="40"/>
          <w:lang w:val="cs-CZ"/>
          <w14:ligatures w14:val="standardContextual"/>
        </w:rPr>
        <w:t>1 Úvod</w:t>
      </w:r>
      <w:bookmarkEnd w:id="0"/>
    </w:p>
    <w:p w14:paraId="3F74465A" w14:textId="2214DDCA" w:rsidR="736D6E86" w:rsidRPr="00F72499" w:rsidRDefault="736D6E86" w:rsidP="00BD0BFF">
      <w:pPr>
        <w:shd w:val="clear" w:color="auto" w:fill="FFFFFF" w:themeFill="background1"/>
        <w:spacing w:after="0"/>
        <w:jc w:val="both"/>
      </w:pPr>
      <w:r w:rsidRPr="00F72499">
        <w:rPr>
          <w:rFonts w:ascii="Aptos" w:eastAsia="Aptos" w:hAnsi="Aptos" w:cs="Aptos"/>
          <w:color w:val="002060"/>
          <w:sz w:val="22"/>
          <w:szCs w:val="22"/>
        </w:rPr>
        <w:t xml:space="preserve">S ohledem na vznik Národní strategie pro vzácná onemocnění 2026-2035 (dále jen “NSVO”) byly také vytvořeny jednotlivé Implementační plány, které slouží jako důležitý implementační nástroj k jejím konkrétním </w:t>
      </w:r>
      <w:r w:rsidR="42ECF0E7" w:rsidRPr="00F72499">
        <w:rPr>
          <w:rFonts w:ascii="Aptos" w:eastAsia="Aptos" w:hAnsi="Aptos" w:cs="Aptos"/>
          <w:color w:val="002060"/>
          <w:sz w:val="22"/>
          <w:szCs w:val="22"/>
        </w:rPr>
        <w:t xml:space="preserve">strategickým </w:t>
      </w:r>
      <w:r w:rsidRPr="00F72499">
        <w:rPr>
          <w:rFonts w:ascii="Aptos" w:eastAsia="Aptos" w:hAnsi="Aptos" w:cs="Aptos"/>
          <w:color w:val="002060"/>
          <w:sz w:val="22"/>
          <w:szCs w:val="22"/>
        </w:rPr>
        <w:t>cílům. Jedná se</w:t>
      </w:r>
      <w:r w:rsidR="6F04F8DF" w:rsidRPr="00F72499">
        <w:rPr>
          <w:rFonts w:ascii="Aptos" w:eastAsia="Aptos" w:hAnsi="Aptos" w:cs="Aptos"/>
          <w:color w:val="002060"/>
          <w:sz w:val="22"/>
          <w:szCs w:val="22"/>
        </w:rPr>
        <w:t xml:space="preserve"> o</w:t>
      </w:r>
      <w:r w:rsidRPr="00F72499">
        <w:rPr>
          <w:rFonts w:ascii="Aptos" w:eastAsia="Aptos" w:hAnsi="Aptos" w:cs="Aptos"/>
          <w:color w:val="002060"/>
          <w:sz w:val="22"/>
          <w:szCs w:val="22"/>
        </w:rPr>
        <w:t xml:space="preserve"> dokument, který může být v průběhu realizace NSVO aktualizován dle potřeby a zejména možností realizace některých cílů nebo dalších důležitých okolností zasahujících do samotné implementace. </w:t>
      </w:r>
    </w:p>
    <w:p w14:paraId="2026997A" w14:textId="0049B108" w:rsidR="736D6E86" w:rsidRPr="00F72499" w:rsidRDefault="736D6E86" w:rsidP="32AD3AAF">
      <w:pPr>
        <w:shd w:val="clear" w:color="auto" w:fill="FFFFFF" w:themeFill="background1"/>
        <w:spacing w:after="0"/>
        <w:jc w:val="both"/>
      </w:pPr>
      <w:r w:rsidRPr="00F72499">
        <w:rPr>
          <w:rFonts w:ascii="Aptos" w:eastAsia="Aptos" w:hAnsi="Aptos" w:cs="Aptos"/>
          <w:color w:val="002060"/>
          <w:sz w:val="22"/>
          <w:szCs w:val="22"/>
        </w:rPr>
        <w:t xml:space="preserve"> </w:t>
      </w:r>
    </w:p>
    <w:p w14:paraId="267FA9A1" w14:textId="77777777" w:rsidR="00E82A74" w:rsidRPr="00F72499" w:rsidRDefault="00E82A74" w:rsidP="00BD0BFF">
      <w:pPr>
        <w:jc w:val="both"/>
        <w:rPr>
          <w:rFonts w:ascii="Aptos" w:hAnsi="Aptos"/>
          <w:color w:val="002060"/>
          <w:sz w:val="22"/>
          <w:szCs w:val="22"/>
        </w:rPr>
      </w:pPr>
      <w:bookmarkStart w:id="1" w:name="_Toc231330673"/>
      <w:r w:rsidRPr="00F72499">
        <w:rPr>
          <w:rFonts w:ascii="Aptos" w:eastAsia="Aptos" w:hAnsi="Aptos" w:cs="Aptos"/>
          <w:color w:val="002060"/>
          <w:sz w:val="22"/>
          <w:szCs w:val="22"/>
        </w:rPr>
        <w:t>NSVO a Implementační plány byly vytvořeny ve spolupráci s odbornou veřejností a zástupci pacientů v rámci projektu ministerstva zdravotnictví „Návrh systému komplexní sdílené zdravotně-sociální péče o pacienty se vzácnými onemocněními – SYPOVO“, registrační číslo CZ.03.02.02/00/22_046/0002450, který je spolufinancovaný Evropskou unií z Operačního programu Zaměstnanost plus.</w:t>
      </w:r>
    </w:p>
    <w:p w14:paraId="239F48B5" w14:textId="77777777" w:rsidR="00873D37" w:rsidRPr="00F72499" w:rsidRDefault="00C05BF8" w:rsidP="00DC5084">
      <w:pPr>
        <w:pStyle w:val="Nadpis2"/>
        <w:spacing w:before="160" w:after="80" w:line="259" w:lineRule="auto"/>
        <w:ind w:left="576" w:hanging="576"/>
        <w:rPr>
          <w:rFonts w:ascii="Aptos" w:hAnsi="Aptos"/>
          <w:b w:val="0"/>
          <w:bCs w:val="0"/>
          <w:color w:val="002060"/>
          <w:kern w:val="2"/>
          <w:sz w:val="32"/>
          <w:szCs w:val="32"/>
          <w:lang w:val="cs-CZ"/>
          <w14:ligatures w14:val="standardContextual"/>
        </w:rPr>
      </w:pPr>
      <w:r w:rsidRPr="00F72499">
        <w:rPr>
          <w:rFonts w:ascii="Aptos" w:hAnsi="Aptos"/>
          <w:b w:val="0"/>
          <w:bCs w:val="0"/>
          <w:color w:val="002060"/>
          <w:kern w:val="2"/>
          <w:sz w:val="32"/>
          <w:szCs w:val="32"/>
          <w:lang w:val="cs-CZ"/>
          <w14:ligatures w14:val="standardContextual"/>
        </w:rPr>
        <w:t>1.1 Úvod a východiska IP2</w:t>
      </w:r>
      <w:bookmarkEnd w:id="1"/>
    </w:p>
    <w:p w14:paraId="51237583" w14:textId="3E10B70D" w:rsidR="00E82A74" w:rsidRPr="00F72499" w:rsidRDefault="00C05BF8" w:rsidP="00C75105">
      <w:pPr>
        <w:spacing w:after="160"/>
        <w:jc w:val="both"/>
        <w:rPr>
          <w:rFonts w:ascii="Aptos" w:hAnsi="Aptos"/>
          <w:color w:val="002060"/>
          <w:sz w:val="22"/>
          <w:szCs w:val="22"/>
        </w:rPr>
      </w:pPr>
      <w:r w:rsidRPr="00F72499">
        <w:rPr>
          <w:rFonts w:ascii="Aptos" w:eastAsiaTheme="minorHAnsi" w:hAnsi="Aptos"/>
          <w:color w:val="002060"/>
          <w:kern w:val="2"/>
          <w:sz w:val="22"/>
          <w:szCs w:val="22"/>
          <w14:ligatures w14:val="standardContextual"/>
        </w:rPr>
        <w:t xml:space="preserve">Tento implementační plán (dále jen „IP2“) je prováděcím dokumentem </w:t>
      </w:r>
      <w:r w:rsidRPr="00F72499">
        <w:rPr>
          <w:rFonts w:ascii="Aptos" w:eastAsiaTheme="minorHAnsi" w:hAnsi="Aptos"/>
          <w:b/>
          <w:bCs/>
          <w:color w:val="002060"/>
          <w:kern w:val="2"/>
          <w:sz w:val="22"/>
          <w:szCs w:val="22"/>
          <w14:ligatures w14:val="standardContextual"/>
        </w:rPr>
        <w:t xml:space="preserve">Národní strategie pro vzácná onemocnění 2026–2035 </w:t>
      </w:r>
      <w:r w:rsidRPr="00F72499">
        <w:rPr>
          <w:rFonts w:ascii="Aptos" w:eastAsiaTheme="minorHAnsi" w:hAnsi="Aptos"/>
          <w:color w:val="002060"/>
          <w:kern w:val="2"/>
          <w:sz w:val="22"/>
          <w:szCs w:val="22"/>
          <w14:ligatures w14:val="standardContextual"/>
        </w:rPr>
        <w:t>a vztahuje se ke strategickému cíli 2 – Zvýšení efektivity a kvality zdravotní péče.</w:t>
      </w:r>
      <w:r w:rsidR="00BD0BFF" w:rsidRPr="00F72499">
        <w:rPr>
          <w:rFonts w:ascii="Aptos" w:eastAsiaTheme="minorHAnsi" w:hAnsi="Aptos"/>
          <w:color w:val="002060"/>
          <w:kern w:val="2"/>
          <w:sz w:val="22"/>
          <w:szCs w:val="22"/>
          <w14:ligatures w14:val="standardContextual"/>
        </w:rPr>
        <w:t xml:space="preserve"> </w:t>
      </w:r>
      <w:r w:rsidRPr="00F72499">
        <w:rPr>
          <w:rFonts w:ascii="Aptos" w:hAnsi="Aptos"/>
          <w:color w:val="002060"/>
          <w:sz w:val="22"/>
          <w:szCs w:val="22"/>
        </w:rPr>
        <w:t xml:space="preserve">IP2 je zpracován v návaznosti na </w:t>
      </w:r>
      <w:r w:rsidRPr="00F72499">
        <w:rPr>
          <w:rFonts w:ascii="Aptos" w:hAnsi="Aptos"/>
          <w:b/>
          <w:bCs/>
          <w:color w:val="002060"/>
          <w:sz w:val="22"/>
          <w:szCs w:val="22"/>
        </w:rPr>
        <w:t>Implementační rámec NSVO</w:t>
      </w:r>
      <w:r w:rsidRPr="00F72499">
        <w:rPr>
          <w:rFonts w:ascii="Aptos" w:hAnsi="Aptos"/>
          <w:color w:val="002060"/>
          <w:sz w:val="22"/>
          <w:szCs w:val="22"/>
        </w:rPr>
        <w:t xml:space="preserve">, který stanovuje jednotné principy řízení, monitoringu, evaluace, řízení rizik a změn napříč implementačními plány. </w:t>
      </w:r>
    </w:p>
    <w:p w14:paraId="42FE025D" w14:textId="77777777" w:rsidR="00873D37" w:rsidRPr="00F72499" w:rsidRDefault="00C05BF8" w:rsidP="00BD0BFF">
      <w:pPr>
        <w:spacing w:after="160"/>
        <w:jc w:val="both"/>
        <w:rPr>
          <w:rFonts w:ascii="Aptos" w:eastAsiaTheme="minorHAnsi" w:hAnsi="Aptos"/>
          <w:color w:val="002060"/>
          <w:kern w:val="2"/>
          <w:sz w:val="22"/>
          <w:szCs w:val="22"/>
          <w14:ligatures w14:val="standardContextual"/>
        </w:rPr>
      </w:pPr>
      <w:r w:rsidRPr="00F72499">
        <w:rPr>
          <w:rFonts w:ascii="Aptos" w:eastAsiaTheme="minorHAnsi" w:hAnsi="Aptos"/>
          <w:color w:val="002060"/>
          <w:kern w:val="2"/>
          <w:sz w:val="22"/>
          <w:szCs w:val="22"/>
          <w14:ligatures w14:val="standardContextual"/>
        </w:rPr>
        <w:t>IP2 je koncipován jako ucelený pracovní dokument pro celé období realizace NSVO. Jeho realizace je rozdělena do tří navazujících tříletých implementačních období, přičemž podrobnější rozpracování aktivit je soustředěno zejména do první fáze, v níž má být vytvořena datová, organizační a metodická základna pro další rozvoj systému.</w:t>
      </w:r>
    </w:p>
    <w:p w14:paraId="25AD94EF" w14:textId="3E044F08" w:rsidR="00873D37" w:rsidRPr="00F72499" w:rsidRDefault="00C05BF8" w:rsidP="00612096">
      <w:pPr>
        <w:pStyle w:val="Seznamsodrkami"/>
        <w:tabs>
          <w:tab w:val="clear" w:pos="360"/>
          <w:tab w:val="num" w:pos="709"/>
        </w:tabs>
        <w:ind w:left="567" w:hanging="218"/>
        <w:rPr>
          <w:rFonts w:ascii="Aptos" w:hAnsi="Aptos"/>
          <w:b/>
          <w:bCs/>
          <w:color w:val="002060"/>
          <w:lang w:val="cs-CZ"/>
        </w:rPr>
      </w:pPr>
      <w:r w:rsidRPr="135080A3">
        <w:rPr>
          <w:rFonts w:ascii="Aptos" w:hAnsi="Aptos"/>
          <w:b/>
          <w:bCs/>
          <w:color w:val="002060"/>
          <w:lang w:val="cs-CZ"/>
        </w:rPr>
        <w:t>Implementační fáze 1 (2027–2029) – Stabilizace a vytvoření základní páteře systému</w:t>
      </w:r>
    </w:p>
    <w:p w14:paraId="0F3764ED" w14:textId="130397FB" w:rsidR="00873D37" w:rsidRPr="00F72499" w:rsidRDefault="00C05BF8" w:rsidP="00612096">
      <w:pPr>
        <w:pStyle w:val="Seznamsodrkami"/>
        <w:tabs>
          <w:tab w:val="clear" w:pos="360"/>
          <w:tab w:val="num" w:pos="709"/>
        </w:tabs>
        <w:ind w:left="567" w:hanging="218"/>
        <w:rPr>
          <w:rFonts w:ascii="Aptos" w:hAnsi="Aptos"/>
          <w:b/>
          <w:bCs/>
          <w:color w:val="002060"/>
          <w:lang w:val="cs-CZ"/>
        </w:rPr>
      </w:pPr>
      <w:r w:rsidRPr="135080A3">
        <w:rPr>
          <w:rFonts w:ascii="Aptos" w:hAnsi="Aptos"/>
          <w:b/>
          <w:bCs/>
          <w:color w:val="002060"/>
          <w:lang w:val="cs-CZ"/>
        </w:rPr>
        <w:lastRenderedPageBreak/>
        <w:t xml:space="preserve">Implementační fáze 2 (2030–2032) – </w:t>
      </w:r>
      <w:r w:rsidR="00DB09C0" w:rsidRPr="135080A3">
        <w:rPr>
          <w:rFonts w:ascii="Aptos" w:hAnsi="Aptos"/>
          <w:b/>
          <w:bCs/>
          <w:color w:val="002060"/>
          <w:lang w:val="cs-CZ"/>
        </w:rPr>
        <w:t>Rozvoj, ukotvení a rozšíření specializované péče</w:t>
      </w:r>
    </w:p>
    <w:p w14:paraId="5B27923E" w14:textId="05A23004" w:rsidR="00873D37" w:rsidRPr="00F72499" w:rsidRDefault="00C05BF8" w:rsidP="00612096">
      <w:pPr>
        <w:pStyle w:val="Seznamsodrkami"/>
        <w:tabs>
          <w:tab w:val="clear" w:pos="360"/>
          <w:tab w:val="num" w:pos="709"/>
        </w:tabs>
        <w:ind w:left="567" w:hanging="218"/>
        <w:rPr>
          <w:rFonts w:ascii="Aptos" w:hAnsi="Aptos"/>
          <w:b/>
          <w:bCs/>
          <w:color w:val="002060"/>
          <w:lang w:val="cs-CZ"/>
        </w:rPr>
      </w:pPr>
      <w:r w:rsidRPr="135080A3">
        <w:rPr>
          <w:rFonts w:ascii="Aptos" w:hAnsi="Aptos"/>
          <w:b/>
          <w:bCs/>
          <w:color w:val="002060"/>
          <w:lang w:val="cs-CZ"/>
        </w:rPr>
        <w:t>Implementační fáze 3 (2033–2035) – Konsolidace</w:t>
      </w:r>
      <w:r w:rsidR="00612096" w:rsidRPr="135080A3">
        <w:rPr>
          <w:rFonts w:ascii="Aptos" w:hAnsi="Aptos"/>
          <w:b/>
          <w:bCs/>
          <w:color w:val="002060"/>
          <w:lang w:val="cs-CZ"/>
        </w:rPr>
        <w:t xml:space="preserve"> a inovace</w:t>
      </w:r>
      <w:r w:rsidRPr="135080A3">
        <w:rPr>
          <w:rFonts w:ascii="Aptos" w:hAnsi="Aptos"/>
          <w:b/>
          <w:bCs/>
          <w:color w:val="002060"/>
          <w:lang w:val="cs-CZ"/>
        </w:rPr>
        <w:t xml:space="preserve"> </w:t>
      </w:r>
    </w:p>
    <w:p w14:paraId="18222C91" w14:textId="77777777" w:rsidR="00873D37" w:rsidRPr="00F72499" w:rsidRDefault="00C05BF8" w:rsidP="00C75105">
      <w:pPr>
        <w:pStyle w:val="Nadpis1"/>
        <w:spacing w:before="360" w:after="80" w:line="259" w:lineRule="auto"/>
        <w:ind w:left="432" w:hanging="432"/>
        <w:rPr>
          <w:rFonts w:ascii="Aptos" w:hAnsi="Aptos"/>
          <w:b w:val="0"/>
          <w:bCs w:val="0"/>
          <w:color w:val="002060"/>
          <w:kern w:val="2"/>
          <w:sz w:val="40"/>
          <w:szCs w:val="40"/>
          <w:lang w:val="cs-CZ"/>
          <w14:ligatures w14:val="standardContextual"/>
        </w:rPr>
      </w:pPr>
      <w:bookmarkStart w:id="2" w:name="_Toc231330674"/>
      <w:r w:rsidRPr="00F72499">
        <w:rPr>
          <w:rFonts w:ascii="Aptos" w:hAnsi="Aptos"/>
          <w:b w:val="0"/>
          <w:bCs w:val="0"/>
          <w:color w:val="002060"/>
          <w:kern w:val="2"/>
          <w:sz w:val="40"/>
          <w:szCs w:val="40"/>
          <w:lang w:val="cs-CZ"/>
          <w14:ligatures w14:val="standardContextual"/>
        </w:rPr>
        <w:t>2 Řídicí a organizační struktura</w:t>
      </w:r>
      <w:bookmarkEnd w:id="2"/>
    </w:p>
    <w:p w14:paraId="72147A8F" w14:textId="63414F83" w:rsidR="00873D37" w:rsidRPr="00F72499" w:rsidRDefault="00C05BF8" w:rsidP="00C75105">
      <w:pPr>
        <w:spacing w:after="160" w:line="259" w:lineRule="auto"/>
        <w:jc w:val="both"/>
        <w:rPr>
          <w:rFonts w:ascii="Aptos" w:eastAsiaTheme="minorHAnsi" w:hAnsi="Aptos"/>
          <w:color w:val="002060"/>
          <w:kern w:val="2"/>
          <w:sz w:val="22"/>
          <w:szCs w:val="22"/>
          <w14:ligatures w14:val="standardContextual"/>
        </w:rPr>
      </w:pPr>
      <w:r w:rsidRPr="00F72499">
        <w:rPr>
          <w:rFonts w:ascii="Aptos" w:eastAsiaTheme="minorHAnsi" w:hAnsi="Aptos"/>
          <w:color w:val="002060"/>
          <w:kern w:val="2"/>
          <w:sz w:val="22"/>
          <w:szCs w:val="22"/>
          <w14:ligatures w14:val="standardContextual"/>
        </w:rPr>
        <w:t xml:space="preserve">Řízení </w:t>
      </w:r>
      <w:r w:rsidRPr="00F72499">
        <w:rPr>
          <w:rFonts w:ascii="Aptos" w:eastAsiaTheme="minorHAnsi" w:hAnsi="Aptos"/>
          <w:b/>
          <w:bCs/>
          <w:color w:val="002060"/>
          <w:kern w:val="2"/>
          <w:sz w:val="22"/>
          <w:szCs w:val="22"/>
          <w14:ligatures w14:val="standardContextual"/>
        </w:rPr>
        <w:t>implementace strategického cíle 2</w:t>
      </w:r>
      <w:r w:rsidR="00C75105" w:rsidRPr="00F72499">
        <w:rPr>
          <w:rFonts w:ascii="Aptos" w:eastAsiaTheme="minorHAnsi" w:hAnsi="Aptos"/>
          <w:b/>
          <w:bCs/>
          <w:color w:val="002060"/>
          <w:kern w:val="2"/>
          <w:sz w:val="22"/>
          <w:szCs w:val="22"/>
          <w14:ligatures w14:val="standardContextual"/>
        </w:rPr>
        <w:t xml:space="preserve"> - Zvýšení efektivity a kvality zdravotní péče </w:t>
      </w:r>
      <w:r w:rsidR="00C75105" w:rsidRPr="00F72499">
        <w:rPr>
          <w:rFonts w:ascii="Aptos" w:eastAsiaTheme="minorHAnsi" w:hAnsi="Aptos"/>
          <w:color w:val="002060"/>
          <w:kern w:val="2"/>
          <w:sz w:val="22"/>
          <w:szCs w:val="22"/>
          <w14:ligatures w14:val="standardContextual"/>
        </w:rPr>
        <w:t>vychází</w:t>
      </w:r>
      <w:r w:rsidRPr="00F72499">
        <w:rPr>
          <w:rFonts w:ascii="Aptos" w:eastAsiaTheme="minorHAnsi" w:hAnsi="Aptos"/>
          <w:color w:val="002060"/>
          <w:kern w:val="2"/>
          <w:sz w:val="22"/>
          <w:szCs w:val="22"/>
          <w14:ligatures w14:val="standardContextual"/>
        </w:rPr>
        <w:t xml:space="preserve"> z celkové řídicí struktury NSVO a je s ní plně provázáno. Podrobné vymezení systému řízení, monitoringu a spolupráce je uvedeno v Implementačním rámci NSVO; tato kapitola specifikuje odpovědnosti a zapojení aktérů ve vztahu k IP2.</w:t>
      </w:r>
    </w:p>
    <w:p w14:paraId="16AEAF85" w14:textId="1E0B65B2" w:rsidR="00873D37" w:rsidRPr="00F72499" w:rsidRDefault="6B103251" w:rsidP="00C75105">
      <w:pPr>
        <w:spacing w:after="160" w:line="259" w:lineRule="auto"/>
        <w:jc w:val="both"/>
        <w:rPr>
          <w:rFonts w:ascii="Aptos" w:eastAsiaTheme="minorHAnsi" w:hAnsi="Aptos"/>
          <w:color w:val="002060"/>
          <w:kern w:val="2"/>
          <w:sz w:val="22"/>
          <w:szCs w:val="22"/>
          <w14:ligatures w14:val="standardContextual"/>
        </w:rPr>
      </w:pPr>
      <w:r w:rsidRPr="00F72499">
        <w:rPr>
          <w:rFonts w:ascii="Aptos" w:eastAsiaTheme="minorHAnsi" w:hAnsi="Aptos"/>
          <w:color w:val="002060"/>
          <w:kern w:val="2"/>
          <w:sz w:val="22"/>
          <w:szCs w:val="22"/>
          <w14:ligatures w14:val="standardContextual"/>
        </w:rPr>
        <w:t>Cílem nastavení řídicí a organizační struktury je zajistit koordinované řízení opatření zaměřených na žádoucí nastavení péče, rozvoj Národní sítě center vysoce specializované zdravotní péče pro pacienty se vzácným onemocněním</w:t>
      </w:r>
      <w:r w:rsidR="00577EDD" w:rsidRPr="00F72499">
        <w:rPr>
          <w:rFonts w:ascii="Aptos" w:eastAsiaTheme="minorHAnsi" w:hAnsi="Aptos"/>
          <w:color w:val="002060"/>
          <w:kern w:val="2"/>
          <w:sz w:val="22"/>
          <w:szCs w:val="22"/>
          <w14:ligatures w14:val="standardContextual"/>
        </w:rPr>
        <w:t xml:space="preserve"> (VO)</w:t>
      </w:r>
      <w:r w:rsidRPr="00F72499">
        <w:rPr>
          <w:rFonts w:ascii="Aptos" w:eastAsiaTheme="minorHAnsi" w:hAnsi="Aptos"/>
          <w:color w:val="002060"/>
          <w:kern w:val="2"/>
          <w:sz w:val="22"/>
          <w:szCs w:val="22"/>
          <w14:ligatures w14:val="standardContextual"/>
        </w:rPr>
        <w:t>, kvalitu a efektivitu péče v centrech a na specializovaných pracovištích, využívání moderních postupů a technologií, přeshraniční odbornou spolupráci a provazbu těchto opatření na datové, úhradové a vzdělávací mechanismy.</w:t>
      </w:r>
    </w:p>
    <w:p w14:paraId="469046A0" w14:textId="77777777" w:rsidR="00873D37" w:rsidRPr="00F72499" w:rsidRDefault="00C05BF8" w:rsidP="00C75105">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3" w:name="_Toc231330675"/>
      <w:r w:rsidRPr="00F72499">
        <w:rPr>
          <w:rFonts w:ascii="Aptos" w:hAnsi="Aptos"/>
          <w:b w:val="0"/>
          <w:bCs w:val="0"/>
          <w:color w:val="002060"/>
          <w:kern w:val="2"/>
          <w:sz w:val="32"/>
          <w:szCs w:val="32"/>
          <w:lang w:val="cs-CZ"/>
          <w14:ligatures w14:val="standardContextual"/>
        </w:rPr>
        <w:t>2.1 Gestorství a odpovědnost za implementaci</w:t>
      </w:r>
      <w:bookmarkEnd w:id="3"/>
    </w:p>
    <w:p w14:paraId="27F242A4" w14:textId="703E0EA5" w:rsidR="00873D37" w:rsidRPr="00F72499" w:rsidRDefault="00C05BF8" w:rsidP="00C75105">
      <w:pPr>
        <w:jc w:val="both"/>
        <w:rPr>
          <w:rFonts w:ascii="Aptos" w:hAnsi="Aptos"/>
          <w:color w:val="002060"/>
          <w:sz w:val="22"/>
          <w:szCs w:val="22"/>
        </w:rPr>
      </w:pPr>
      <w:r w:rsidRPr="00F72499">
        <w:rPr>
          <w:rFonts w:ascii="Aptos" w:hAnsi="Aptos"/>
          <w:color w:val="002060"/>
          <w:sz w:val="22"/>
          <w:szCs w:val="22"/>
        </w:rPr>
        <w:t xml:space="preserve">Hlavním gestorem implementace strategického cíle 2 je </w:t>
      </w:r>
      <w:r w:rsidRPr="00F72499">
        <w:rPr>
          <w:rFonts w:ascii="Aptos" w:hAnsi="Aptos"/>
          <w:b/>
          <w:bCs/>
          <w:color w:val="002060"/>
          <w:sz w:val="22"/>
          <w:szCs w:val="22"/>
        </w:rPr>
        <w:t>Ministerstvo zdravotnictví České republiky (MZD)</w:t>
      </w:r>
      <w:r w:rsidR="007C5238" w:rsidRPr="00F72499">
        <w:rPr>
          <w:rFonts w:ascii="Aptos" w:hAnsi="Aptos"/>
          <w:color w:val="002060"/>
          <w:sz w:val="22"/>
          <w:szCs w:val="22"/>
        </w:rPr>
        <w:t xml:space="preserve"> Odbor zdravotní péče (OZP)</w:t>
      </w:r>
      <w:r w:rsidRPr="00F72499">
        <w:rPr>
          <w:rFonts w:ascii="Aptos" w:hAnsi="Aptos"/>
          <w:color w:val="002060"/>
          <w:sz w:val="22"/>
          <w:szCs w:val="22"/>
        </w:rPr>
        <w:t xml:space="preserve">, zejména věcně příslušné útvary pro oblast </w:t>
      </w:r>
      <w:r w:rsidR="74748F11" w:rsidRPr="00F72499">
        <w:rPr>
          <w:rFonts w:ascii="Aptos" w:hAnsi="Aptos"/>
          <w:color w:val="002060"/>
          <w:sz w:val="22"/>
          <w:szCs w:val="22"/>
        </w:rPr>
        <w:t xml:space="preserve">vzdělávání a </w:t>
      </w:r>
      <w:r w:rsidRPr="00F72499">
        <w:rPr>
          <w:rFonts w:ascii="Aptos" w:hAnsi="Aptos"/>
          <w:color w:val="002060"/>
          <w:sz w:val="22"/>
          <w:szCs w:val="22"/>
        </w:rPr>
        <w:t xml:space="preserve">zdravotní péče, </w:t>
      </w:r>
      <w:r w:rsidR="6F342A97" w:rsidRPr="00F72499">
        <w:rPr>
          <w:rFonts w:ascii="Aptos" w:hAnsi="Aptos"/>
          <w:color w:val="002060"/>
          <w:sz w:val="22"/>
          <w:szCs w:val="22"/>
        </w:rPr>
        <w:t>r</w:t>
      </w:r>
      <w:r w:rsidRPr="00F72499">
        <w:rPr>
          <w:rFonts w:ascii="Aptos" w:hAnsi="Aptos"/>
          <w:color w:val="002060"/>
          <w:sz w:val="22"/>
          <w:szCs w:val="22"/>
        </w:rPr>
        <w:t xml:space="preserve">egulace cen a úhrad, </w:t>
      </w:r>
      <w:r w:rsidR="4AD16EB9" w:rsidRPr="00F72499">
        <w:rPr>
          <w:rFonts w:ascii="Aptos" w:hAnsi="Aptos"/>
          <w:color w:val="002060"/>
          <w:sz w:val="22"/>
          <w:szCs w:val="22"/>
        </w:rPr>
        <w:t xml:space="preserve">OPP, </w:t>
      </w:r>
      <w:r w:rsidRPr="00F72499">
        <w:rPr>
          <w:rFonts w:ascii="Aptos" w:hAnsi="Aptos"/>
          <w:color w:val="002060"/>
          <w:sz w:val="22"/>
          <w:szCs w:val="22"/>
        </w:rPr>
        <w:t xml:space="preserve">eHealth a </w:t>
      </w:r>
      <w:r w:rsidR="19E4376A" w:rsidRPr="00F72499">
        <w:rPr>
          <w:rFonts w:ascii="Aptos" w:hAnsi="Aptos"/>
          <w:color w:val="002060"/>
          <w:sz w:val="22"/>
          <w:szCs w:val="22"/>
        </w:rPr>
        <w:t>léčiv</w:t>
      </w:r>
      <w:r w:rsidR="4CBD4A06" w:rsidRPr="00F72499">
        <w:rPr>
          <w:rFonts w:ascii="Aptos" w:hAnsi="Aptos"/>
          <w:color w:val="002060"/>
          <w:sz w:val="22"/>
          <w:szCs w:val="22"/>
        </w:rPr>
        <w:t xml:space="preserve">, </w:t>
      </w:r>
      <w:r w:rsidR="003132C1" w:rsidRPr="00F72499">
        <w:rPr>
          <w:rFonts w:ascii="Aptos" w:hAnsi="Aptos"/>
          <w:color w:val="002060"/>
          <w:sz w:val="22"/>
          <w:szCs w:val="22"/>
        </w:rPr>
        <w:t>Ú</w:t>
      </w:r>
      <w:r w:rsidR="4CBD4A06" w:rsidRPr="00F72499">
        <w:rPr>
          <w:rFonts w:ascii="Aptos" w:hAnsi="Aptos"/>
          <w:color w:val="002060"/>
          <w:sz w:val="22"/>
          <w:szCs w:val="22"/>
        </w:rPr>
        <w:t>ZIS</w:t>
      </w:r>
      <w:r w:rsidR="4522153B" w:rsidRPr="00F72499">
        <w:rPr>
          <w:rFonts w:ascii="Aptos" w:hAnsi="Aptos"/>
          <w:color w:val="002060"/>
          <w:sz w:val="22"/>
          <w:szCs w:val="22"/>
        </w:rPr>
        <w:t xml:space="preserve"> aj</w:t>
      </w:r>
      <w:r w:rsidRPr="00F72499">
        <w:rPr>
          <w:rFonts w:ascii="Aptos" w:hAnsi="Aptos"/>
          <w:color w:val="002060"/>
          <w:sz w:val="22"/>
          <w:szCs w:val="22"/>
        </w:rPr>
        <w:t>.</w:t>
      </w:r>
    </w:p>
    <w:p w14:paraId="13F3513E" w14:textId="77777777" w:rsidR="00873D37" w:rsidRPr="00F72499" w:rsidRDefault="00C05BF8" w:rsidP="1EB33230">
      <w:pPr>
        <w:spacing w:after="0"/>
        <w:rPr>
          <w:rFonts w:ascii="Aptos" w:hAnsi="Aptos"/>
          <w:color w:val="002060"/>
          <w:sz w:val="22"/>
          <w:szCs w:val="22"/>
        </w:rPr>
      </w:pPr>
      <w:r w:rsidRPr="00F72499">
        <w:rPr>
          <w:rFonts w:ascii="Aptos" w:hAnsi="Aptos"/>
          <w:color w:val="002060"/>
          <w:sz w:val="22"/>
          <w:szCs w:val="22"/>
        </w:rPr>
        <w:t>MZD odpovídá zejména za:</w:t>
      </w:r>
    </w:p>
    <w:p w14:paraId="78806BD2" w14:textId="77777777" w:rsidR="00873D37" w:rsidRPr="00F72499" w:rsidRDefault="00C05BF8" w:rsidP="1EB33230">
      <w:pPr>
        <w:pStyle w:val="Seznamsodrkami"/>
        <w:tabs>
          <w:tab w:val="clear" w:pos="360"/>
        </w:tabs>
        <w:ind w:left="993"/>
        <w:rPr>
          <w:rFonts w:ascii="Aptos" w:hAnsi="Aptos"/>
          <w:color w:val="002060"/>
          <w:lang w:val="cs-CZ"/>
        </w:rPr>
      </w:pPr>
      <w:r w:rsidRPr="135080A3">
        <w:rPr>
          <w:rFonts w:ascii="Aptos" w:hAnsi="Aptos"/>
          <w:color w:val="002060"/>
          <w:lang w:val="cs-CZ"/>
        </w:rPr>
        <w:t>celkové řízení a koordinaci realizace IP2;</w:t>
      </w:r>
    </w:p>
    <w:p w14:paraId="71B54F3F" w14:textId="77777777" w:rsidR="00873D37" w:rsidRPr="00F72499" w:rsidRDefault="00C05BF8" w:rsidP="1EB33230">
      <w:pPr>
        <w:pStyle w:val="Seznamsodrkami"/>
        <w:tabs>
          <w:tab w:val="clear" w:pos="360"/>
        </w:tabs>
        <w:ind w:left="993"/>
        <w:rPr>
          <w:rFonts w:ascii="Aptos" w:hAnsi="Aptos"/>
          <w:color w:val="002060"/>
          <w:lang w:val="cs-CZ"/>
        </w:rPr>
      </w:pPr>
      <w:r w:rsidRPr="135080A3">
        <w:rPr>
          <w:rFonts w:ascii="Aptos" w:hAnsi="Aptos"/>
          <w:color w:val="002060"/>
          <w:lang w:val="cs-CZ"/>
        </w:rPr>
        <w:t>zajištění souladu aktivit s NSVO, Implementačním rámcem NSVO a navazujícími strategickými dokumenty;</w:t>
      </w:r>
    </w:p>
    <w:p w14:paraId="53AE1CBF" w14:textId="77777777" w:rsidR="00873D37" w:rsidRPr="00F72499" w:rsidRDefault="00C05BF8" w:rsidP="1EB33230">
      <w:pPr>
        <w:pStyle w:val="Seznamsodrkami"/>
        <w:tabs>
          <w:tab w:val="clear" w:pos="360"/>
        </w:tabs>
        <w:ind w:left="993"/>
        <w:rPr>
          <w:rFonts w:ascii="Aptos" w:hAnsi="Aptos"/>
          <w:color w:val="002060"/>
          <w:lang w:val="cs-CZ"/>
        </w:rPr>
      </w:pPr>
      <w:r w:rsidRPr="135080A3">
        <w:rPr>
          <w:rFonts w:ascii="Aptos" w:hAnsi="Aptos"/>
          <w:color w:val="002060"/>
          <w:lang w:val="cs-CZ"/>
        </w:rPr>
        <w:t>metodické vedení a koordinaci zapojených subjektů;</w:t>
      </w:r>
    </w:p>
    <w:p w14:paraId="16185500" w14:textId="5053FB0F" w:rsidR="5960452C" w:rsidRDefault="5960452C" w:rsidP="135080A3">
      <w:pPr>
        <w:pStyle w:val="Seznamsodrkami"/>
        <w:tabs>
          <w:tab w:val="clear" w:pos="360"/>
        </w:tabs>
        <w:ind w:left="993"/>
        <w:rPr>
          <w:rFonts w:ascii="Aptos" w:eastAsia="Aptos" w:hAnsi="Aptos" w:cs="Aptos"/>
          <w:color w:val="002060"/>
          <w:lang w:val="cs-CZ"/>
        </w:rPr>
      </w:pPr>
      <w:r w:rsidRPr="135080A3">
        <w:rPr>
          <w:rFonts w:ascii="Aptos" w:eastAsia="Aptos" w:hAnsi="Aptos" w:cs="Aptos"/>
          <w:color w:val="002060"/>
          <w:lang w:val="cs-CZ"/>
        </w:rPr>
        <w:t>průběžný monitoring a vyhodnocování plnění stanovených opatření a indikátorů;</w:t>
      </w:r>
    </w:p>
    <w:p w14:paraId="08807761" w14:textId="7190E5A2" w:rsidR="5960452C" w:rsidRDefault="5960452C" w:rsidP="135080A3">
      <w:pPr>
        <w:pStyle w:val="Seznamsodrkami"/>
        <w:tabs>
          <w:tab w:val="clear" w:pos="360"/>
        </w:tabs>
        <w:ind w:left="993"/>
        <w:rPr>
          <w:rFonts w:ascii="Aptos" w:hAnsi="Aptos"/>
          <w:color w:val="002060"/>
          <w:lang w:val="cs-CZ"/>
        </w:rPr>
      </w:pPr>
      <w:r w:rsidRPr="135080A3">
        <w:rPr>
          <w:color w:val="002060"/>
          <w:lang w:val="cs-CZ"/>
        </w:rPr>
        <w:t>pravidelný reporting o průběhu implementace (minimálně 1× ročně),</w:t>
      </w:r>
    </w:p>
    <w:p w14:paraId="52DB95BC" w14:textId="49F0FBE8" w:rsidR="5960452C" w:rsidRDefault="5960452C" w:rsidP="135080A3">
      <w:pPr>
        <w:pStyle w:val="Seznamsodrkami"/>
        <w:tabs>
          <w:tab w:val="clear" w:pos="360"/>
        </w:tabs>
        <w:ind w:left="993"/>
        <w:rPr>
          <w:rFonts w:ascii="Aptos" w:hAnsi="Aptos"/>
          <w:color w:val="002060"/>
          <w:lang w:val="cs-CZ"/>
        </w:rPr>
      </w:pPr>
      <w:r w:rsidRPr="135080A3">
        <w:rPr>
          <w:color w:val="002060"/>
          <w:lang w:val="cs-CZ"/>
        </w:rPr>
        <w:t>řízení eskalačního mechanismu při neplnění stanoveného plánu aktivit a klíčových milníků, pokud jsou stanoveny,</w:t>
      </w:r>
    </w:p>
    <w:p w14:paraId="66ECE485" w14:textId="1EE12CDE" w:rsidR="5960452C" w:rsidRDefault="5960452C" w:rsidP="135080A3">
      <w:pPr>
        <w:pStyle w:val="Seznamsodrkami"/>
        <w:tabs>
          <w:tab w:val="clear" w:pos="360"/>
        </w:tabs>
        <w:ind w:left="993"/>
        <w:rPr>
          <w:rFonts w:ascii="Aptos" w:hAnsi="Aptos"/>
          <w:color w:val="002060"/>
          <w:lang w:val="cs-CZ"/>
        </w:rPr>
      </w:pPr>
      <w:r w:rsidRPr="135080A3">
        <w:rPr>
          <w:color w:val="002060"/>
          <w:lang w:val="cs-CZ"/>
        </w:rPr>
        <w:t xml:space="preserve">řízení změn implementačního plánu na základě výsledků evaluace a v reakci na vývoj </w:t>
      </w:r>
      <w:r w:rsidR="00ED10DA">
        <w:rPr>
          <w:color w:val="002060"/>
          <w:lang w:val="cs-CZ"/>
        </w:rPr>
        <w:t xml:space="preserve">         </w:t>
      </w:r>
      <w:r w:rsidRPr="135080A3">
        <w:rPr>
          <w:color w:val="002060"/>
          <w:lang w:val="cs-CZ"/>
        </w:rPr>
        <w:t>v dané oblasti.</w:t>
      </w:r>
    </w:p>
    <w:p w14:paraId="70B37C8C" w14:textId="0EA9C242" w:rsidR="00873D37" w:rsidRPr="00F72499" w:rsidRDefault="00C05BF8" w:rsidP="135080A3">
      <w:pPr>
        <w:jc w:val="both"/>
        <w:rPr>
          <w:rFonts w:ascii="Aptos" w:eastAsia="Aptos" w:hAnsi="Aptos" w:cs="Aptos"/>
          <w:color w:val="002060"/>
          <w:sz w:val="22"/>
          <w:szCs w:val="22"/>
        </w:rPr>
      </w:pPr>
      <w:r w:rsidRPr="135080A3">
        <w:rPr>
          <w:rFonts w:ascii="Aptos" w:hAnsi="Aptos"/>
          <w:color w:val="002060"/>
          <w:sz w:val="22"/>
          <w:szCs w:val="22"/>
        </w:rPr>
        <w:t>Na realizaci IP2 se podílejí</w:t>
      </w:r>
      <w:r w:rsidR="00A56ACC" w:rsidRPr="135080A3">
        <w:rPr>
          <w:rFonts w:ascii="Aptos" w:hAnsi="Aptos"/>
          <w:color w:val="002060"/>
          <w:sz w:val="22"/>
          <w:szCs w:val="22"/>
        </w:rPr>
        <w:t xml:space="preserve"> spolupracující subjekty a instituce:</w:t>
      </w:r>
      <w:r w:rsidRPr="135080A3">
        <w:rPr>
          <w:rFonts w:ascii="Aptos" w:hAnsi="Aptos"/>
          <w:color w:val="002060"/>
          <w:sz w:val="22"/>
          <w:szCs w:val="22"/>
        </w:rPr>
        <w:t xml:space="preserve"> zejména </w:t>
      </w:r>
      <w:r w:rsidR="00A56ACC" w:rsidRPr="135080A3">
        <w:rPr>
          <w:rFonts w:ascii="Aptos" w:hAnsi="Aptos"/>
          <w:color w:val="002060"/>
          <w:sz w:val="22"/>
          <w:szCs w:val="22"/>
        </w:rPr>
        <w:t xml:space="preserve">Zdravotní pojišťovny; Poskytovatelé zdravotních služeb a CVSP-VO; </w:t>
      </w:r>
      <w:r w:rsidR="003132C1" w:rsidRPr="135080A3">
        <w:rPr>
          <w:rFonts w:ascii="Aptos" w:hAnsi="Aptos"/>
          <w:color w:val="002060"/>
          <w:sz w:val="22"/>
          <w:szCs w:val="22"/>
        </w:rPr>
        <w:t>ÚZIS</w:t>
      </w:r>
      <w:r w:rsidR="1C1DC4B7" w:rsidRPr="135080A3">
        <w:rPr>
          <w:rFonts w:ascii="Aptos" w:hAnsi="Aptos"/>
          <w:color w:val="002060"/>
          <w:sz w:val="22"/>
          <w:szCs w:val="22"/>
        </w:rPr>
        <w:t xml:space="preserve">; </w:t>
      </w:r>
      <w:r w:rsidR="00A56ACC" w:rsidRPr="135080A3">
        <w:rPr>
          <w:rFonts w:ascii="Aptos" w:hAnsi="Aptos"/>
          <w:color w:val="002060"/>
          <w:sz w:val="22"/>
          <w:szCs w:val="22"/>
        </w:rPr>
        <w:t xml:space="preserve">Odbor Národního centra elektronického zdravotnictví; MZD Odbor regulace cen a úhrad; MZD Odbor léčiv a zdravotnických prostředků; MZD Oddělení inovací, strategického rozvoje, digitálních technologií AI; MZD Oddělení hodnocení zdravotnických technologií; </w:t>
      </w:r>
      <w:r w:rsidR="6288FD74" w:rsidRPr="135080A3">
        <w:rPr>
          <w:rFonts w:ascii="Aptos" w:hAnsi="Aptos"/>
          <w:color w:val="002060"/>
          <w:sz w:val="22"/>
          <w:szCs w:val="22"/>
        </w:rPr>
        <w:t xml:space="preserve">MZD odbor podpory </w:t>
      </w:r>
      <w:r w:rsidR="26FC0F2E" w:rsidRPr="135080A3">
        <w:rPr>
          <w:rFonts w:ascii="Aptos" w:hAnsi="Aptos"/>
          <w:color w:val="002060"/>
          <w:sz w:val="22"/>
          <w:szCs w:val="22"/>
        </w:rPr>
        <w:t xml:space="preserve">práv pacientů; </w:t>
      </w:r>
      <w:r w:rsidR="00A56ACC" w:rsidRPr="135080A3">
        <w:rPr>
          <w:rFonts w:ascii="Aptos" w:hAnsi="Aptos"/>
          <w:color w:val="002060"/>
          <w:sz w:val="22"/>
          <w:szCs w:val="22"/>
        </w:rPr>
        <w:t xml:space="preserve">Pacientské organizace; Kraje; Velké výzkumné infrastruktury </w:t>
      </w:r>
      <w:r w:rsidRPr="135080A3">
        <w:rPr>
          <w:rFonts w:ascii="Aptos" w:hAnsi="Aptos"/>
          <w:color w:val="002060"/>
          <w:sz w:val="22"/>
          <w:szCs w:val="22"/>
        </w:rPr>
        <w:t>a další relevantní aktéři. Odborná koordinace a validace vybraných kroků probíhá prostřednictvím MEKOVO</w:t>
      </w:r>
      <w:r w:rsidR="31C88592" w:rsidRPr="135080A3">
        <w:rPr>
          <w:rFonts w:ascii="Aptos" w:hAnsi="Aptos"/>
          <w:color w:val="002060"/>
          <w:sz w:val="22"/>
          <w:szCs w:val="22"/>
        </w:rPr>
        <w:t xml:space="preserve">, která </w:t>
      </w:r>
      <w:r w:rsidR="31C88592" w:rsidRPr="135080A3">
        <w:rPr>
          <w:rFonts w:ascii="Aptos" w:eastAsia="Aptos" w:hAnsi="Aptos" w:cs="Aptos"/>
          <w:color w:val="002060"/>
          <w:sz w:val="22"/>
          <w:szCs w:val="22"/>
        </w:rPr>
        <w:t xml:space="preserve">mimo jiné: </w:t>
      </w:r>
    </w:p>
    <w:p w14:paraId="79B88713" w14:textId="4D859AB6"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t xml:space="preserve">Koordinuje realizaci opatření vedoucích k naplnění cílů strategie. </w:t>
      </w:r>
    </w:p>
    <w:p w14:paraId="7565E2A3" w14:textId="055B2E0A"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t xml:space="preserve">Zajišťuje informování odborné obce a zainteresovaných stran. </w:t>
      </w:r>
    </w:p>
    <w:p w14:paraId="386D6BB9" w14:textId="53342472"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t xml:space="preserve">Podporuje participaci zainteresovaných stran při realizaci strategie. </w:t>
      </w:r>
    </w:p>
    <w:p w14:paraId="3E32210C" w14:textId="4868CF7A"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t xml:space="preserve">Podílí se na přípravě Implementačních plánů strategie. </w:t>
      </w:r>
    </w:p>
    <w:p w14:paraId="66D8A19F" w14:textId="15BAE553"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t xml:space="preserve">Podílí se na vyhodnocování průběhu implementace. </w:t>
      </w:r>
    </w:p>
    <w:p w14:paraId="556C541D" w14:textId="1C20FBBD"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t xml:space="preserve">Navrhuje aktualizaci Implementačních plánů v reakci na vývoj v dané oblasti. </w:t>
      </w:r>
    </w:p>
    <w:p w14:paraId="26313392" w14:textId="1C05B5B0" w:rsidR="00873D37" w:rsidRPr="00F72499" w:rsidRDefault="31C88592" w:rsidP="135080A3">
      <w:pPr>
        <w:pStyle w:val="Odstavecseseznamem"/>
        <w:numPr>
          <w:ilvl w:val="0"/>
          <w:numId w:val="6"/>
        </w:numPr>
        <w:jc w:val="both"/>
        <w:rPr>
          <w:rFonts w:ascii="Aptos" w:eastAsia="Aptos" w:hAnsi="Aptos" w:cs="Aptos"/>
          <w:color w:val="002060"/>
          <w:lang w:val="cs-CZ"/>
        </w:rPr>
      </w:pPr>
      <w:r w:rsidRPr="135080A3">
        <w:rPr>
          <w:rFonts w:ascii="Aptos" w:eastAsia="Aptos" w:hAnsi="Aptos" w:cs="Aptos"/>
          <w:color w:val="002060"/>
          <w:lang w:val="cs-CZ"/>
        </w:rPr>
        <w:lastRenderedPageBreak/>
        <w:t>Podílí se na hodnocení dopadů strategie</w:t>
      </w:r>
    </w:p>
    <w:p w14:paraId="02CA9E13" w14:textId="48DEF516" w:rsidR="00873D37" w:rsidRPr="00F72499" w:rsidRDefault="00873D37" w:rsidP="1EB33230">
      <w:pPr>
        <w:jc w:val="both"/>
        <w:rPr>
          <w:rFonts w:ascii="Aptos" w:hAnsi="Aptos"/>
          <w:color w:val="002060"/>
          <w:sz w:val="22"/>
          <w:szCs w:val="22"/>
        </w:rPr>
      </w:pPr>
    </w:p>
    <w:p w14:paraId="321EE484" w14:textId="77777777" w:rsidR="00873D37" w:rsidRPr="00F72499" w:rsidRDefault="00C05BF8" w:rsidP="00C75105">
      <w:pPr>
        <w:pStyle w:val="Nadpis1"/>
        <w:spacing w:before="360" w:after="80" w:line="259" w:lineRule="auto"/>
        <w:ind w:left="432" w:hanging="432"/>
        <w:rPr>
          <w:rFonts w:ascii="Aptos" w:hAnsi="Aptos"/>
          <w:b w:val="0"/>
          <w:bCs w:val="0"/>
          <w:color w:val="002060"/>
          <w:kern w:val="2"/>
          <w:sz w:val="40"/>
          <w:szCs w:val="40"/>
          <w:lang w:val="cs-CZ"/>
          <w14:ligatures w14:val="standardContextual"/>
        </w:rPr>
      </w:pPr>
      <w:bookmarkStart w:id="4" w:name="_Toc231330676"/>
      <w:r w:rsidRPr="00F72499">
        <w:rPr>
          <w:rFonts w:ascii="Aptos" w:hAnsi="Aptos"/>
          <w:b w:val="0"/>
          <w:bCs w:val="0"/>
          <w:color w:val="002060"/>
          <w:kern w:val="2"/>
          <w:sz w:val="40"/>
          <w:szCs w:val="40"/>
          <w:lang w:val="cs-CZ"/>
          <w14:ligatures w14:val="standardContextual"/>
        </w:rPr>
        <w:t>3 Principy implementace</w:t>
      </w:r>
      <w:bookmarkEnd w:id="4"/>
    </w:p>
    <w:p w14:paraId="66317CD6" w14:textId="77777777" w:rsidR="00873D37" w:rsidRPr="00F72499" w:rsidRDefault="6B103251" w:rsidP="00C75105">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5" w:name="_Toc231330677"/>
      <w:r w:rsidRPr="00F72499">
        <w:rPr>
          <w:rFonts w:ascii="Aptos" w:hAnsi="Aptos"/>
          <w:b w:val="0"/>
          <w:bCs w:val="0"/>
          <w:color w:val="002060"/>
          <w:kern w:val="2"/>
          <w:sz w:val="32"/>
          <w:szCs w:val="32"/>
          <w:lang w:val="cs-CZ"/>
          <w14:ligatures w14:val="standardContextual"/>
        </w:rPr>
        <w:t>3.1 Centralizace a síťování odborné péče</w:t>
      </w:r>
      <w:bookmarkEnd w:id="5"/>
    </w:p>
    <w:p w14:paraId="7FD9BDF3" w14:textId="74FBF7EA" w:rsidR="6B103251" w:rsidRPr="00F72499" w:rsidRDefault="6B103251" w:rsidP="32AD3AAF">
      <w:pPr>
        <w:jc w:val="both"/>
        <w:rPr>
          <w:rFonts w:ascii="Aptos" w:hAnsi="Aptos"/>
          <w:color w:val="002060"/>
          <w:sz w:val="22"/>
          <w:szCs w:val="22"/>
        </w:rPr>
      </w:pPr>
      <w:r w:rsidRPr="00F72499">
        <w:rPr>
          <w:rFonts w:ascii="Aptos" w:hAnsi="Aptos"/>
          <w:color w:val="002060"/>
          <w:sz w:val="22"/>
          <w:szCs w:val="22"/>
        </w:rPr>
        <w:t>Základním principem IP2 je postupné zlepšování péče o pacienty s</w:t>
      </w:r>
      <w:r w:rsidR="00577EDD" w:rsidRPr="00F72499">
        <w:rPr>
          <w:rFonts w:ascii="Aptos" w:hAnsi="Aptos"/>
          <w:color w:val="002060"/>
          <w:sz w:val="22"/>
          <w:szCs w:val="22"/>
        </w:rPr>
        <w:t xml:space="preserve"> VO</w:t>
      </w:r>
      <w:r w:rsidRPr="00F72499">
        <w:rPr>
          <w:rFonts w:ascii="Aptos" w:hAnsi="Aptos"/>
          <w:color w:val="002060"/>
          <w:sz w:val="22"/>
          <w:szCs w:val="22"/>
        </w:rPr>
        <w:t xml:space="preserve">, a to na základě </w:t>
      </w:r>
      <w:r w:rsidRPr="00F72499">
        <w:rPr>
          <w:rFonts w:ascii="Aptos" w:hAnsi="Aptos"/>
          <w:b/>
          <w:bCs/>
          <w:color w:val="002060"/>
          <w:sz w:val="22"/>
          <w:szCs w:val="22"/>
        </w:rPr>
        <w:t>systematicky shromažďovaných a průběžně zkvalitňovaných dat</w:t>
      </w:r>
      <w:r w:rsidRPr="00F72499">
        <w:rPr>
          <w:rFonts w:ascii="Aptos" w:hAnsi="Aptos"/>
          <w:color w:val="002060"/>
          <w:sz w:val="22"/>
          <w:szCs w:val="22"/>
        </w:rPr>
        <w:t>. Tato data budou sloužit jako podklad pro rozhodování o</w:t>
      </w:r>
      <w:r w:rsidR="00577EDD" w:rsidRPr="00F72499">
        <w:rPr>
          <w:rFonts w:ascii="Aptos" w:hAnsi="Aptos"/>
          <w:color w:val="002060"/>
          <w:sz w:val="22"/>
          <w:szCs w:val="22"/>
        </w:rPr>
        <w:t> </w:t>
      </w:r>
      <w:r w:rsidRPr="00F72499">
        <w:rPr>
          <w:rFonts w:ascii="Aptos" w:hAnsi="Aptos"/>
          <w:color w:val="002060"/>
          <w:sz w:val="22"/>
          <w:szCs w:val="22"/>
        </w:rPr>
        <w:t>efektivním nastavení Národní sítě center vysoce specializované zdravotní péče pro pacienty s</w:t>
      </w:r>
      <w:r w:rsidR="00577EDD" w:rsidRPr="00F72499">
        <w:rPr>
          <w:rFonts w:ascii="Aptos" w:hAnsi="Aptos"/>
          <w:color w:val="002060"/>
          <w:sz w:val="22"/>
          <w:szCs w:val="22"/>
        </w:rPr>
        <w:t xml:space="preserve"> VO</w:t>
      </w:r>
      <w:r w:rsidRPr="00F72499">
        <w:rPr>
          <w:rFonts w:ascii="Aptos" w:hAnsi="Aptos"/>
          <w:color w:val="002060"/>
          <w:sz w:val="22"/>
          <w:szCs w:val="22"/>
        </w:rPr>
        <w:t>. Cílem je budovat zkušené a stabilní odborné týmy a současně vytvářet podmínky pro co nejvyšší kvalitu, bezpečnost a dostupnost poskytované péče. V</w:t>
      </w:r>
      <w:r w:rsidR="00F509DE" w:rsidRPr="00F72499">
        <w:rPr>
          <w:rFonts w:ascii="Aptos" w:hAnsi="Aptos"/>
          <w:color w:val="002060"/>
          <w:sz w:val="22"/>
          <w:szCs w:val="22"/>
        </w:rPr>
        <w:t> </w:t>
      </w:r>
      <w:r w:rsidRPr="00F72499">
        <w:rPr>
          <w:rFonts w:ascii="Aptos" w:hAnsi="Aptos"/>
          <w:color w:val="002060"/>
          <w:sz w:val="22"/>
          <w:szCs w:val="22"/>
        </w:rPr>
        <w:t>případech, kdy to bude na základě dostupných dat účelné a</w:t>
      </w:r>
      <w:r w:rsidR="00577EDD" w:rsidRPr="00F72499">
        <w:rPr>
          <w:rFonts w:ascii="Aptos" w:hAnsi="Aptos"/>
          <w:color w:val="002060"/>
          <w:sz w:val="22"/>
          <w:szCs w:val="22"/>
        </w:rPr>
        <w:t> </w:t>
      </w:r>
      <w:r w:rsidRPr="00F72499">
        <w:rPr>
          <w:rFonts w:ascii="Aptos" w:hAnsi="Aptos"/>
          <w:color w:val="002060"/>
          <w:sz w:val="22"/>
          <w:szCs w:val="22"/>
        </w:rPr>
        <w:t>efektivní, bude zajištěna spolupráce s dalšími specializovanými pracovišti a regionálními poskytovateli zdravotní péče.</w:t>
      </w:r>
    </w:p>
    <w:p w14:paraId="71634247" w14:textId="77777777" w:rsidR="00873D37" w:rsidRPr="00F72499" w:rsidRDefault="6B103251" w:rsidP="1EB33230">
      <w:pPr>
        <w:pStyle w:val="Nadpis2"/>
        <w:jc w:val="both"/>
        <w:rPr>
          <w:rFonts w:ascii="Aptos" w:hAnsi="Aptos"/>
          <w:b w:val="0"/>
          <w:bCs w:val="0"/>
          <w:color w:val="002060"/>
          <w:kern w:val="2"/>
          <w:sz w:val="32"/>
          <w:szCs w:val="32"/>
          <w:lang w:val="cs-CZ"/>
          <w14:ligatures w14:val="standardContextual"/>
        </w:rPr>
      </w:pPr>
      <w:bookmarkStart w:id="6" w:name="_Toc231330678"/>
      <w:r w:rsidRPr="00F72499">
        <w:rPr>
          <w:rFonts w:ascii="Aptos" w:hAnsi="Aptos"/>
          <w:b w:val="0"/>
          <w:bCs w:val="0"/>
          <w:color w:val="002060"/>
          <w:kern w:val="2"/>
          <w:sz w:val="32"/>
          <w:szCs w:val="32"/>
          <w:lang w:val="cs-CZ"/>
          <w14:ligatures w14:val="standardContextual"/>
        </w:rPr>
        <w:t>3.2 Kvalita, efektivita a udržitelnost péče</w:t>
      </w:r>
      <w:bookmarkEnd w:id="6"/>
    </w:p>
    <w:p w14:paraId="33CC6FB4" w14:textId="4B993882" w:rsidR="6B103251" w:rsidRPr="00F72499" w:rsidRDefault="6B103251" w:rsidP="32AD3AAF">
      <w:pPr>
        <w:jc w:val="both"/>
        <w:rPr>
          <w:rFonts w:ascii="Aptos" w:hAnsi="Aptos"/>
          <w:color w:val="002060"/>
          <w:sz w:val="22"/>
          <w:szCs w:val="22"/>
        </w:rPr>
      </w:pPr>
      <w:r w:rsidRPr="00F72499">
        <w:rPr>
          <w:rFonts w:ascii="Aptos" w:hAnsi="Aptos"/>
          <w:color w:val="002060"/>
          <w:sz w:val="22"/>
          <w:szCs w:val="22"/>
        </w:rPr>
        <w:t>Implementace IP2 je založena na systematickém využívání dostupných dat, jejichž rozsah a</w:t>
      </w:r>
      <w:r w:rsidR="00F509DE" w:rsidRPr="00F72499">
        <w:rPr>
          <w:rFonts w:ascii="Aptos" w:hAnsi="Aptos"/>
          <w:color w:val="002060"/>
          <w:sz w:val="22"/>
          <w:szCs w:val="22"/>
        </w:rPr>
        <w:t> </w:t>
      </w:r>
      <w:r w:rsidRPr="00F72499">
        <w:rPr>
          <w:rFonts w:ascii="Aptos" w:hAnsi="Aptos"/>
          <w:color w:val="002060"/>
          <w:sz w:val="22"/>
          <w:szCs w:val="22"/>
        </w:rPr>
        <w:t>kvalita se bude postupně zlepšovat, a na průběžném vyhodnocování indikátorů kvality a</w:t>
      </w:r>
      <w:r w:rsidR="00F509DE" w:rsidRPr="00F72499">
        <w:rPr>
          <w:rFonts w:ascii="Aptos" w:hAnsi="Aptos"/>
          <w:color w:val="002060"/>
          <w:sz w:val="22"/>
          <w:szCs w:val="22"/>
        </w:rPr>
        <w:t> </w:t>
      </w:r>
      <w:r w:rsidRPr="00F72499">
        <w:rPr>
          <w:rFonts w:ascii="Aptos" w:hAnsi="Aptos"/>
          <w:color w:val="002060"/>
          <w:sz w:val="22"/>
          <w:szCs w:val="22"/>
        </w:rPr>
        <w:t>efektivity péče. Nedílnou součástí je také hodnocení kapacit systému a dopadů jednotlivých opatření na pacienty, poskytovatele i plátce péče. Na základě těchto výstupů budou přijímána rozhodnutí směřující k efektivnímu nastavení Národní sítě center vysoce specializované zdravotní péče pro pacienty s</w:t>
      </w:r>
      <w:r w:rsidR="00577EDD" w:rsidRPr="00F72499">
        <w:rPr>
          <w:rFonts w:ascii="Aptos" w:hAnsi="Aptos"/>
          <w:color w:val="002060"/>
          <w:sz w:val="22"/>
          <w:szCs w:val="22"/>
        </w:rPr>
        <w:t xml:space="preserve"> VO</w:t>
      </w:r>
      <w:r w:rsidRPr="00F72499">
        <w:rPr>
          <w:rFonts w:ascii="Aptos" w:hAnsi="Aptos"/>
          <w:color w:val="002060"/>
          <w:sz w:val="22"/>
          <w:szCs w:val="22"/>
        </w:rPr>
        <w:t>. Přijatá opatření mají vést k takovému uspořádání systému, které zajistí vysokou klinickou kvalitu, organizační proveditelnost a dlouhodobou finanční udržitelnost.</w:t>
      </w:r>
    </w:p>
    <w:p w14:paraId="7F8D696F" w14:textId="77777777" w:rsidR="00873D37" w:rsidRPr="00F72499" w:rsidRDefault="6B103251" w:rsidP="1EB33230">
      <w:pPr>
        <w:pStyle w:val="Nadpis2"/>
        <w:jc w:val="both"/>
        <w:rPr>
          <w:rFonts w:ascii="Aptos" w:hAnsi="Aptos"/>
          <w:b w:val="0"/>
          <w:bCs w:val="0"/>
          <w:color w:val="002060"/>
          <w:kern w:val="2"/>
          <w:sz w:val="32"/>
          <w:szCs w:val="32"/>
          <w:lang w:val="cs-CZ"/>
          <w14:ligatures w14:val="standardContextual"/>
        </w:rPr>
      </w:pPr>
      <w:bookmarkStart w:id="7" w:name="_Toc231330679"/>
      <w:r w:rsidRPr="00F72499">
        <w:rPr>
          <w:rFonts w:ascii="Aptos" w:hAnsi="Aptos"/>
          <w:b w:val="0"/>
          <w:bCs w:val="0"/>
          <w:color w:val="002060"/>
          <w:kern w:val="2"/>
          <w:sz w:val="32"/>
          <w:szCs w:val="32"/>
          <w:lang w:val="cs-CZ"/>
          <w14:ligatures w14:val="standardContextual"/>
        </w:rPr>
        <w:t>3.3 Implementace moderních postupů a technologií</w:t>
      </w:r>
      <w:bookmarkEnd w:id="7"/>
    </w:p>
    <w:p w14:paraId="1606432A" w14:textId="0288D660" w:rsidR="6B103251" w:rsidRPr="00F72499" w:rsidRDefault="6B103251" w:rsidP="32AD3AAF">
      <w:pPr>
        <w:jc w:val="both"/>
        <w:rPr>
          <w:rFonts w:ascii="Aptos" w:hAnsi="Aptos"/>
          <w:color w:val="002060"/>
          <w:sz w:val="22"/>
          <w:szCs w:val="22"/>
        </w:rPr>
      </w:pPr>
      <w:r w:rsidRPr="00F72499">
        <w:rPr>
          <w:rFonts w:ascii="Aptos" w:hAnsi="Aptos"/>
          <w:color w:val="002060"/>
          <w:sz w:val="22"/>
          <w:szCs w:val="22"/>
        </w:rPr>
        <w:t>Implementace moderních postupů a technologií vychází z principu jejich cíleného a daty podloženého zavádění s cílem dále zlepšovat kvalitu, dostupnost a efektivitu péče o pacienty s</w:t>
      </w:r>
      <w:r w:rsidR="00F509DE" w:rsidRPr="00F72499">
        <w:rPr>
          <w:rFonts w:ascii="Aptos" w:hAnsi="Aptos"/>
          <w:color w:val="002060"/>
          <w:sz w:val="22"/>
          <w:szCs w:val="22"/>
        </w:rPr>
        <w:t> </w:t>
      </w:r>
      <w:r w:rsidR="00577EDD" w:rsidRPr="00F72499">
        <w:rPr>
          <w:rFonts w:ascii="Aptos" w:hAnsi="Aptos"/>
          <w:color w:val="002060"/>
          <w:sz w:val="22"/>
          <w:szCs w:val="22"/>
        </w:rPr>
        <w:t>VO</w:t>
      </w:r>
      <w:r w:rsidRPr="00F72499">
        <w:rPr>
          <w:rFonts w:ascii="Aptos" w:hAnsi="Aptos"/>
          <w:color w:val="002060"/>
          <w:sz w:val="22"/>
          <w:szCs w:val="22"/>
        </w:rPr>
        <w:t>. IP2 podporuje využívání moderních diagnostických, léčebných, monitorovacích a</w:t>
      </w:r>
      <w:r w:rsidR="00F509DE" w:rsidRPr="00F72499">
        <w:rPr>
          <w:rFonts w:ascii="Aptos" w:hAnsi="Aptos"/>
          <w:color w:val="002060"/>
          <w:sz w:val="22"/>
          <w:szCs w:val="22"/>
        </w:rPr>
        <w:t> </w:t>
      </w:r>
      <w:r w:rsidRPr="00F72499">
        <w:rPr>
          <w:rFonts w:ascii="Aptos" w:hAnsi="Aptos"/>
          <w:color w:val="002060"/>
          <w:sz w:val="22"/>
          <w:szCs w:val="22"/>
        </w:rPr>
        <w:t>komunikačních postupů, včetně telemedicíny, distanční péče a nástrojů pro sdílení dat, přičemž jejich zavádění je podmíněno průběžným vyhodnocováním přínosů na základě dostupných a postupně zkvalitňovaných dat. Tyto technologie budou využívány zejména tam, kde prokazatelně přispívají k efektivnímu fungování Národní sítě center vysoce specializované zdravotní péče pro pacienty s</w:t>
      </w:r>
      <w:r w:rsidR="00577EDD" w:rsidRPr="00F72499">
        <w:rPr>
          <w:rFonts w:ascii="Aptos" w:hAnsi="Aptos"/>
          <w:color w:val="002060"/>
          <w:sz w:val="22"/>
          <w:szCs w:val="22"/>
        </w:rPr>
        <w:t xml:space="preserve"> VO </w:t>
      </w:r>
      <w:r w:rsidRPr="00F72499">
        <w:rPr>
          <w:rFonts w:ascii="Aptos" w:hAnsi="Aptos"/>
          <w:color w:val="002060"/>
          <w:sz w:val="22"/>
          <w:szCs w:val="22"/>
        </w:rPr>
        <w:t>a kde jsou současně odpovídajícím způsobem zajištěny datové, bezpečnostní, organizační a úhradové podmínky.</w:t>
      </w:r>
    </w:p>
    <w:p w14:paraId="76B66D47" w14:textId="2DBD640D" w:rsidR="002C084E" w:rsidRPr="00F72499" w:rsidRDefault="002C084E" w:rsidP="00C75105">
      <w:pPr>
        <w:pStyle w:val="Nadpis2"/>
        <w:jc w:val="both"/>
        <w:rPr>
          <w:rFonts w:ascii="Aptos" w:hAnsi="Aptos"/>
          <w:b w:val="0"/>
          <w:bCs w:val="0"/>
          <w:color w:val="002060"/>
          <w:kern w:val="2"/>
          <w:sz w:val="32"/>
          <w:szCs w:val="32"/>
          <w:lang w:val="cs-CZ"/>
          <w14:ligatures w14:val="standardContextual"/>
        </w:rPr>
      </w:pPr>
      <w:bookmarkStart w:id="8" w:name="_Toc225344319"/>
      <w:bookmarkStart w:id="9" w:name="_Toc231330680"/>
      <w:r w:rsidRPr="00F72499">
        <w:rPr>
          <w:rFonts w:ascii="Aptos" w:hAnsi="Aptos"/>
          <w:b w:val="0"/>
          <w:bCs w:val="0"/>
          <w:color w:val="002060"/>
          <w:kern w:val="2"/>
          <w:sz w:val="32"/>
          <w:szCs w:val="32"/>
          <w:lang w:val="cs-CZ"/>
          <w14:ligatures w14:val="standardContextual"/>
        </w:rPr>
        <w:t>3.4 Opatření průřezového charakteru</w:t>
      </w:r>
      <w:bookmarkEnd w:id="8"/>
      <w:bookmarkEnd w:id="9"/>
    </w:p>
    <w:p w14:paraId="4F8B3474" w14:textId="252223B3" w:rsidR="002C084E" w:rsidRPr="00F72499" w:rsidRDefault="002C084E" w:rsidP="1EB33230">
      <w:pPr>
        <w:jc w:val="both"/>
        <w:rPr>
          <w:rFonts w:ascii="Aptos" w:hAnsi="Aptos"/>
          <w:color w:val="002060"/>
          <w:sz w:val="22"/>
          <w:szCs w:val="22"/>
        </w:rPr>
      </w:pPr>
      <w:r w:rsidRPr="00F72499">
        <w:rPr>
          <w:rFonts w:ascii="Aptos" w:hAnsi="Aptos"/>
          <w:color w:val="002060"/>
          <w:sz w:val="22"/>
          <w:szCs w:val="22"/>
        </w:rPr>
        <w:t>V rámci IP jsou některá opatření svou povahou průřezová. Jedná se o opatření, jejichž význam a</w:t>
      </w:r>
      <w:r w:rsidR="00F509DE" w:rsidRPr="00F72499">
        <w:rPr>
          <w:rFonts w:ascii="Aptos" w:hAnsi="Aptos"/>
          <w:color w:val="002060"/>
          <w:sz w:val="22"/>
          <w:szCs w:val="22"/>
        </w:rPr>
        <w:t> </w:t>
      </w:r>
      <w:r w:rsidRPr="00F72499">
        <w:rPr>
          <w:rFonts w:ascii="Aptos" w:hAnsi="Aptos"/>
          <w:color w:val="002060"/>
          <w:sz w:val="22"/>
          <w:szCs w:val="22"/>
        </w:rPr>
        <w:t>dopad přesahují rámec jednotlivých implementačních období i jednotlivých implementačních plánů NSVO 2026–2035. Tato opatření zpravidla přispívají k naplňování více specifických cílů současně a jejich realizace probíhá kontinuálně v delším časovém horizontu.</w:t>
      </w:r>
    </w:p>
    <w:p w14:paraId="2A682321" w14:textId="011B1760" w:rsidR="002C084E" w:rsidRPr="00F72499" w:rsidRDefault="002C084E" w:rsidP="1EB33230">
      <w:pPr>
        <w:jc w:val="both"/>
        <w:rPr>
          <w:rFonts w:ascii="Aptos" w:hAnsi="Aptos"/>
          <w:color w:val="002060"/>
          <w:sz w:val="22"/>
          <w:szCs w:val="22"/>
        </w:rPr>
      </w:pPr>
      <w:r w:rsidRPr="00F72499">
        <w:rPr>
          <w:rFonts w:ascii="Aptos" w:hAnsi="Aptos"/>
          <w:color w:val="002060"/>
          <w:sz w:val="22"/>
          <w:szCs w:val="22"/>
        </w:rPr>
        <w:t>Průřezová opatření mohou mít své primární těžiště v konkrétní implementační fázi, nebo být z</w:t>
      </w:r>
      <w:r w:rsidR="00F509DE" w:rsidRPr="00F72499">
        <w:rPr>
          <w:rFonts w:ascii="Aptos" w:hAnsi="Aptos"/>
          <w:color w:val="002060"/>
          <w:sz w:val="22"/>
          <w:szCs w:val="22"/>
        </w:rPr>
        <w:t> </w:t>
      </w:r>
      <w:r w:rsidRPr="00F72499">
        <w:rPr>
          <w:rFonts w:ascii="Aptos" w:hAnsi="Aptos"/>
          <w:color w:val="002060"/>
          <w:sz w:val="22"/>
          <w:szCs w:val="22"/>
        </w:rPr>
        <w:t>organizačních a metodických důvodů zařazena do konkrétního implementačního plánu. Toto zařazení však neomezuje jejich věcný přesah ani možnost jejich postupného rozvíjení v</w:t>
      </w:r>
      <w:r w:rsidR="00F509DE" w:rsidRPr="00F72499">
        <w:rPr>
          <w:rFonts w:ascii="Aptos" w:hAnsi="Aptos"/>
          <w:color w:val="002060"/>
          <w:sz w:val="22"/>
          <w:szCs w:val="22"/>
        </w:rPr>
        <w:t> </w:t>
      </w:r>
      <w:r w:rsidRPr="00F72499">
        <w:rPr>
          <w:rFonts w:ascii="Aptos" w:hAnsi="Aptos"/>
          <w:color w:val="002060"/>
          <w:sz w:val="22"/>
          <w:szCs w:val="22"/>
        </w:rPr>
        <w:t>navazujících implementačních obdobích. V</w:t>
      </w:r>
      <w:r w:rsidR="00577EDD" w:rsidRPr="00F72499">
        <w:rPr>
          <w:rFonts w:ascii="Aptos" w:hAnsi="Aptos"/>
          <w:color w:val="002060"/>
          <w:sz w:val="22"/>
          <w:szCs w:val="22"/>
        </w:rPr>
        <w:t> </w:t>
      </w:r>
      <w:r w:rsidRPr="00F72499">
        <w:rPr>
          <w:rFonts w:ascii="Aptos" w:hAnsi="Aptos"/>
          <w:color w:val="002060"/>
          <w:sz w:val="22"/>
          <w:szCs w:val="22"/>
        </w:rPr>
        <w:t xml:space="preserve">průběhu realizace se tato opatření mohou </w:t>
      </w:r>
      <w:r w:rsidRPr="00F72499">
        <w:rPr>
          <w:rFonts w:ascii="Aptos" w:hAnsi="Aptos"/>
          <w:color w:val="002060"/>
          <w:sz w:val="22"/>
          <w:szCs w:val="22"/>
        </w:rPr>
        <w:lastRenderedPageBreak/>
        <w:t>rozšiřovat, prohlubovat nebo adaptovat podle potřeb systému a výsledků monitoringu a</w:t>
      </w:r>
      <w:r w:rsidR="00F509DE" w:rsidRPr="00F72499">
        <w:rPr>
          <w:rFonts w:ascii="Aptos" w:hAnsi="Aptos"/>
          <w:color w:val="002060"/>
          <w:sz w:val="22"/>
          <w:szCs w:val="22"/>
        </w:rPr>
        <w:t> </w:t>
      </w:r>
      <w:r w:rsidRPr="00F72499">
        <w:rPr>
          <w:rFonts w:ascii="Aptos" w:hAnsi="Aptos"/>
          <w:color w:val="002060"/>
          <w:sz w:val="22"/>
          <w:szCs w:val="22"/>
        </w:rPr>
        <w:t>evaluace.</w:t>
      </w:r>
    </w:p>
    <w:p w14:paraId="3F5AADC2" w14:textId="6CF51A03" w:rsidR="00873D37" w:rsidRPr="00F72499" w:rsidRDefault="006E56A1" w:rsidP="00F509DE">
      <w:pPr>
        <w:pStyle w:val="Nadpis1"/>
        <w:spacing w:before="360" w:after="80" w:line="259" w:lineRule="auto"/>
        <w:ind w:left="432" w:hanging="432"/>
        <w:rPr>
          <w:rFonts w:ascii="Aptos" w:hAnsi="Aptos"/>
          <w:b w:val="0"/>
          <w:bCs w:val="0"/>
          <w:color w:val="002060"/>
          <w:kern w:val="2"/>
          <w:sz w:val="40"/>
          <w:szCs w:val="40"/>
          <w:lang w:val="cs-CZ"/>
          <w14:ligatures w14:val="standardContextual"/>
        </w:rPr>
      </w:pPr>
      <w:bookmarkStart w:id="10" w:name="_Toc231330681"/>
      <w:r w:rsidRPr="00F72499">
        <w:rPr>
          <w:rFonts w:ascii="Aptos" w:hAnsi="Aptos"/>
          <w:b w:val="0"/>
          <w:bCs w:val="0"/>
          <w:color w:val="002060"/>
          <w:kern w:val="2"/>
          <w:sz w:val="40"/>
          <w:szCs w:val="40"/>
          <w:lang w:val="cs-CZ"/>
          <w14:ligatures w14:val="standardContextual"/>
        </w:rPr>
        <w:t xml:space="preserve">4 </w:t>
      </w:r>
      <w:r>
        <w:rPr>
          <w:rFonts w:ascii="Aptos" w:hAnsi="Aptos"/>
          <w:b w:val="0"/>
          <w:bCs w:val="0"/>
          <w:color w:val="002060"/>
          <w:kern w:val="2"/>
          <w:sz w:val="40"/>
          <w:szCs w:val="40"/>
          <w:lang w:val="cs-CZ"/>
          <w14:ligatures w14:val="standardContextual"/>
        </w:rPr>
        <w:t xml:space="preserve">  </w:t>
      </w:r>
      <w:r w:rsidRPr="00F72499">
        <w:rPr>
          <w:rFonts w:ascii="Aptos" w:hAnsi="Aptos"/>
          <w:b w:val="0"/>
          <w:bCs w:val="0"/>
          <w:color w:val="002060"/>
          <w:kern w:val="2"/>
          <w:sz w:val="40"/>
          <w:szCs w:val="40"/>
          <w:lang w:val="cs-CZ"/>
          <w14:ligatures w14:val="standardContextual"/>
        </w:rPr>
        <w:t>Harmonogram</w:t>
      </w:r>
      <w:r w:rsidR="00C05BF8" w:rsidRPr="00F72499">
        <w:rPr>
          <w:rFonts w:ascii="Aptos" w:hAnsi="Aptos"/>
          <w:b w:val="0"/>
          <w:bCs w:val="0"/>
          <w:color w:val="002060"/>
          <w:kern w:val="2"/>
          <w:sz w:val="40"/>
          <w:szCs w:val="40"/>
          <w:lang w:val="cs-CZ"/>
          <w14:ligatures w14:val="standardContextual"/>
        </w:rPr>
        <w:t xml:space="preserve"> realizace</w:t>
      </w:r>
      <w:bookmarkEnd w:id="10"/>
    </w:p>
    <w:p w14:paraId="05FF8336" w14:textId="4E5566ED" w:rsidR="0079047F" w:rsidRPr="00F72499" w:rsidRDefault="0079047F" w:rsidP="00F509DE">
      <w:pPr>
        <w:jc w:val="both"/>
        <w:rPr>
          <w:rFonts w:ascii="Aptos" w:hAnsi="Aptos"/>
          <w:color w:val="002060"/>
          <w:sz w:val="22"/>
          <w:szCs w:val="22"/>
        </w:rPr>
      </w:pPr>
      <w:r w:rsidRPr="00F72499">
        <w:rPr>
          <w:rFonts w:ascii="Aptos" w:hAnsi="Aptos"/>
          <w:color w:val="002060"/>
          <w:sz w:val="22"/>
          <w:szCs w:val="22"/>
        </w:rPr>
        <w:t xml:space="preserve">Implementační plán IP2 </w:t>
      </w:r>
      <w:r w:rsidR="00F509DE" w:rsidRPr="00F72499">
        <w:rPr>
          <w:rFonts w:ascii="Aptos" w:hAnsi="Aptos"/>
          <w:color w:val="002060"/>
          <w:sz w:val="22"/>
          <w:szCs w:val="22"/>
        </w:rPr>
        <w:t xml:space="preserve">je zpracován pro celé období platnosti NSVO, tj. </w:t>
      </w:r>
      <w:r w:rsidR="00F509DE" w:rsidRPr="00F72499">
        <w:rPr>
          <w:rFonts w:ascii="Aptos" w:hAnsi="Aptos"/>
          <w:b/>
          <w:bCs/>
          <w:color w:val="002060"/>
          <w:sz w:val="22"/>
          <w:szCs w:val="22"/>
        </w:rPr>
        <w:t>2026–2035</w:t>
      </w:r>
      <w:r w:rsidR="00F509DE" w:rsidRPr="00F72499">
        <w:rPr>
          <w:rFonts w:ascii="Aptos" w:hAnsi="Aptos"/>
          <w:color w:val="002060"/>
          <w:sz w:val="22"/>
          <w:szCs w:val="22"/>
        </w:rPr>
        <w:t xml:space="preserve">, a je rozdělen do </w:t>
      </w:r>
      <w:r w:rsidR="00F509DE" w:rsidRPr="00F72499">
        <w:rPr>
          <w:rFonts w:ascii="Aptos" w:hAnsi="Aptos"/>
          <w:b/>
          <w:bCs/>
          <w:color w:val="002060"/>
          <w:sz w:val="22"/>
          <w:szCs w:val="22"/>
        </w:rPr>
        <w:t>tří na sebe navazujících tříletých implementačních období</w:t>
      </w:r>
      <w:r w:rsidRPr="00F72499">
        <w:rPr>
          <w:rFonts w:ascii="Aptos" w:hAnsi="Aptos"/>
          <w:color w:val="002060"/>
          <w:sz w:val="22"/>
          <w:szCs w:val="22"/>
        </w:rPr>
        <w:t>. Strategický cíl 2 je formálně sledován po celé období platnosti strategie, hlavní těžiště jeho realizace je však soustředěno do prvních dvou implementačních fází. V první fázi budou vytvářeny zejména analytické, metodické a organizační předpoklady pro zvýšení kvality a efektivity specializované péče, ve druhé fázi bude důraz kladen na rozvoj, ukotvení a rozšíření nastavených mechanismů do praxe, včetně podpory moderních technologií a péče o nediagnostikované pacienty. Třetí fáze bude zaměřena především na vyhodnocení dopadů, stabilizaci zavedených mechanismů, aktualizaci standardů a další rozvoj systému podle výsledků monitoringu a evaluace.</w:t>
      </w:r>
    </w:p>
    <w:p w14:paraId="3400E083" w14:textId="197A1271" w:rsidR="00133109" w:rsidRPr="00F72499" w:rsidRDefault="00133109" w:rsidP="00DB09C0">
      <w:pPr>
        <w:pStyle w:val="Odstavecseseznamem"/>
        <w:numPr>
          <w:ilvl w:val="0"/>
          <w:numId w:val="23"/>
        </w:numPr>
        <w:spacing w:after="0"/>
        <w:ind w:left="567"/>
        <w:rPr>
          <w:rFonts w:ascii="Aptos" w:hAnsi="Aptos"/>
          <w:b/>
          <w:bCs/>
          <w:color w:val="002060"/>
          <w:lang w:val="cs-CZ"/>
        </w:rPr>
      </w:pPr>
      <w:r w:rsidRPr="00F72499">
        <w:rPr>
          <w:rFonts w:ascii="Aptos" w:hAnsi="Aptos"/>
          <w:b/>
          <w:bCs/>
          <w:color w:val="002060"/>
          <w:lang w:val="cs-CZ"/>
        </w:rPr>
        <w:t xml:space="preserve">Implementační fáze 1 (2027–2029) – </w:t>
      </w:r>
      <w:r w:rsidR="00F509DE" w:rsidRPr="00F72499">
        <w:rPr>
          <w:rFonts w:ascii="Aptos" w:hAnsi="Aptos"/>
          <w:b/>
          <w:bCs/>
          <w:color w:val="002060"/>
          <w:lang w:val="cs-CZ"/>
        </w:rPr>
        <w:t>Stabilizace a vytvoření základní páteře systému</w:t>
      </w:r>
    </w:p>
    <w:p w14:paraId="20B1CA1F" w14:textId="79CA1E1D" w:rsidR="00133109" w:rsidRPr="00F72499" w:rsidRDefault="00133109" w:rsidP="0070108D">
      <w:pPr>
        <w:ind w:left="567"/>
        <w:jc w:val="both"/>
        <w:rPr>
          <w:rFonts w:ascii="Aptos" w:hAnsi="Aptos"/>
          <w:color w:val="002060"/>
          <w:sz w:val="22"/>
          <w:szCs w:val="22"/>
        </w:rPr>
      </w:pPr>
      <w:r w:rsidRPr="00F72499">
        <w:rPr>
          <w:rFonts w:ascii="Aptos" w:hAnsi="Aptos"/>
          <w:color w:val="002060"/>
          <w:sz w:val="22"/>
          <w:szCs w:val="22"/>
        </w:rPr>
        <w:t>Cílem první fáze je vytvořit základní analytické, metodické a organizační předpoklady pro efektivnější organizaci a řízení specializované péče o pacienty s</w:t>
      </w:r>
      <w:r w:rsidR="00577EDD" w:rsidRPr="00F72499">
        <w:rPr>
          <w:rFonts w:ascii="Aptos" w:hAnsi="Aptos"/>
          <w:color w:val="002060"/>
          <w:sz w:val="22"/>
          <w:szCs w:val="22"/>
        </w:rPr>
        <w:t xml:space="preserve"> VO</w:t>
      </w:r>
      <w:r w:rsidRPr="00F72499">
        <w:rPr>
          <w:rFonts w:ascii="Aptos" w:hAnsi="Aptos"/>
          <w:color w:val="002060"/>
          <w:sz w:val="22"/>
          <w:szCs w:val="22"/>
        </w:rPr>
        <w:t>. Tato fáze představuje klíčové výchozí období implementace strategického cíle 2, neboť nastavuje základní rámec pro následný rozvoj a ukotvení opatření v praxi.</w:t>
      </w:r>
    </w:p>
    <w:p w14:paraId="5FA3DA81" w14:textId="200BB34C" w:rsidR="00133109" w:rsidRPr="00F72499" w:rsidRDefault="6B103251" w:rsidP="0070108D">
      <w:pPr>
        <w:ind w:left="567"/>
        <w:jc w:val="both"/>
        <w:rPr>
          <w:rFonts w:ascii="Aptos" w:hAnsi="Aptos"/>
          <w:color w:val="002060"/>
          <w:sz w:val="22"/>
          <w:szCs w:val="22"/>
        </w:rPr>
      </w:pPr>
      <w:r w:rsidRPr="00F72499">
        <w:rPr>
          <w:rFonts w:ascii="Aptos" w:hAnsi="Aptos"/>
          <w:color w:val="002060"/>
          <w:sz w:val="22"/>
          <w:szCs w:val="22"/>
        </w:rPr>
        <w:t>V rámci specifického cíle 2.1 bude důraz kladen zejména na analýzu dostupných dat o</w:t>
      </w:r>
      <w:r w:rsidR="00DB09C0" w:rsidRPr="00F72499">
        <w:rPr>
          <w:rFonts w:ascii="Aptos" w:hAnsi="Aptos"/>
          <w:color w:val="002060"/>
          <w:sz w:val="22"/>
          <w:szCs w:val="22"/>
        </w:rPr>
        <w:t> </w:t>
      </w:r>
      <w:r w:rsidRPr="00F72499">
        <w:rPr>
          <w:rFonts w:ascii="Aptos" w:hAnsi="Aptos"/>
          <w:color w:val="002060"/>
          <w:sz w:val="22"/>
          <w:szCs w:val="22"/>
        </w:rPr>
        <w:t xml:space="preserve">poskytování péče pacientům s VO v NZIS a Národním registru </w:t>
      </w:r>
      <w:r w:rsidR="00577EDD" w:rsidRPr="00F72499">
        <w:rPr>
          <w:rFonts w:ascii="Aptos" w:hAnsi="Aptos"/>
          <w:color w:val="002060"/>
          <w:sz w:val="22"/>
          <w:szCs w:val="22"/>
        </w:rPr>
        <w:t>VO</w:t>
      </w:r>
      <w:r w:rsidRPr="00F72499">
        <w:rPr>
          <w:rFonts w:ascii="Aptos" w:hAnsi="Aptos"/>
          <w:color w:val="002060"/>
          <w:sz w:val="22"/>
          <w:szCs w:val="22"/>
        </w:rPr>
        <w:t xml:space="preserve">, vyhodnocení získaných informací a jejich využití pro úpravu stávajících nebo nastavení nových systémových opatření, například ve formě specifických standardů péče pro jednotlivé skupiny VO. Součástí této fáze bude také stanovení indikátorů kvality a efektivity specializované péče </w:t>
      </w:r>
      <w:r w:rsidR="00ED10DA">
        <w:rPr>
          <w:rFonts w:ascii="Aptos" w:hAnsi="Aptos"/>
          <w:color w:val="002060"/>
          <w:sz w:val="22"/>
          <w:szCs w:val="22"/>
        </w:rPr>
        <w:t xml:space="preserve">       </w:t>
      </w:r>
      <w:r w:rsidRPr="00F72499">
        <w:rPr>
          <w:rFonts w:ascii="Aptos" w:hAnsi="Aptos"/>
          <w:color w:val="002060"/>
          <w:sz w:val="22"/>
          <w:szCs w:val="22"/>
        </w:rPr>
        <w:t>v centrech pro VO a ve specializovaných pracovištích, vytvoření standardů přechodové péče mezi dětskou a dospělou specializovanou péčí a provázání jejích nároků s</w:t>
      </w:r>
      <w:r w:rsidR="00577EDD" w:rsidRPr="00F72499">
        <w:rPr>
          <w:rFonts w:ascii="Aptos" w:hAnsi="Aptos"/>
          <w:color w:val="002060"/>
          <w:sz w:val="22"/>
          <w:szCs w:val="22"/>
        </w:rPr>
        <w:t> </w:t>
      </w:r>
      <w:r w:rsidRPr="00F72499">
        <w:rPr>
          <w:rFonts w:ascii="Aptos" w:hAnsi="Aptos"/>
          <w:color w:val="002060"/>
          <w:sz w:val="22"/>
          <w:szCs w:val="22"/>
        </w:rPr>
        <w:t xml:space="preserve">úhradovými mechanismy. </w:t>
      </w:r>
    </w:p>
    <w:p w14:paraId="2C027F80" w14:textId="55553F82" w:rsidR="00133109" w:rsidRPr="00F72499" w:rsidRDefault="00133109" w:rsidP="5604E761">
      <w:pPr>
        <w:ind w:left="567"/>
        <w:jc w:val="both"/>
        <w:rPr>
          <w:rFonts w:ascii="Aptos" w:hAnsi="Aptos"/>
          <w:color w:val="002060"/>
          <w:sz w:val="22"/>
          <w:szCs w:val="22"/>
        </w:rPr>
      </w:pPr>
      <w:r w:rsidRPr="5604E761">
        <w:rPr>
          <w:rFonts w:ascii="Aptos" w:hAnsi="Aptos"/>
          <w:color w:val="002060"/>
          <w:sz w:val="22"/>
          <w:szCs w:val="22"/>
        </w:rPr>
        <w:t xml:space="preserve">V rámci specifického cíle 2.2 bude první fáze zaměřena především na rozvoj mezinárodní odborné spolupráce prostřednictvím systému CPMS, vytvoření funkčního mechanismu pro systematické předávání výstupů </w:t>
      </w:r>
      <w:r w:rsidR="088FB444" w:rsidRPr="5604E761">
        <w:rPr>
          <w:rFonts w:asciiTheme="minorHAnsi" w:eastAsiaTheme="minorEastAsia" w:hAnsiTheme="minorHAnsi"/>
          <w:color w:val="002060"/>
          <w:sz w:val="22"/>
          <w:szCs w:val="22"/>
        </w:rPr>
        <w:t xml:space="preserve">Poradního orgánu pro úhradu léčiv určených k léčbě vzácných onemocnění (dále v textu </w:t>
      </w:r>
      <w:r w:rsidRPr="5604E761">
        <w:rPr>
          <w:rFonts w:asciiTheme="minorHAnsi" w:eastAsiaTheme="minorEastAsia" w:hAnsiTheme="minorHAnsi"/>
          <w:color w:val="002060"/>
          <w:sz w:val="22"/>
          <w:szCs w:val="22"/>
        </w:rPr>
        <w:t>Poradní orgán pro ORPHAN léčiva</w:t>
      </w:r>
      <w:r w:rsidR="4A4689E4" w:rsidRPr="5604E761">
        <w:rPr>
          <w:rFonts w:asciiTheme="minorHAnsi" w:eastAsiaTheme="minorEastAsia" w:hAnsiTheme="minorHAnsi"/>
          <w:color w:val="002060"/>
          <w:sz w:val="22"/>
          <w:szCs w:val="22"/>
        </w:rPr>
        <w:t>)</w:t>
      </w:r>
      <w:r w:rsidRPr="5604E761">
        <w:rPr>
          <w:rFonts w:ascii="Aptos" w:hAnsi="Aptos"/>
          <w:color w:val="002060"/>
          <w:sz w:val="22"/>
          <w:szCs w:val="22"/>
        </w:rPr>
        <w:t xml:space="preserve"> příslušným profesím zapojeným do péče o pacienty </w:t>
      </w:r>
      <w:r w:rsidR="00577EDD" w:rsidRPr="5604E761">
        <w:rPr>
          <w:rFonts w:ascii="Aptos" w:hAnsi="Aptos"/>
          <w:color w:val="002060"/>
          <w:sz w:val="22"/>
          <w:szCs w:val="22"/>
        </w:rPr>
        <w:t xml:space="preserve">s VO </w:t>
      </w:r>
      <w:r w:rsidRPr="5604E761">
        <w:rPr>
          <w:rFonts w:ascii="Aptos" w:hAnsi="Aptos"/>
          <w:color w:val="002060"/>
          <w:sz w:val="22"/>
          <w:szCs w:val="22"/>
        </w:rPr>
        <w:t>a</w:t>
      </w:r>
      <w:r w:rsidR="00577EDD" w:rsidRPr="5604E761">
        <w:rPr>
          <w:rFonts w:ascii="Aptos" w:hAnsi="Aptos"/>
          <w:color w:val="002060"/>
          <w:sz w:val="22"/>
          <w:szCs w:val="22"/>
        </w:rPr>
        <w:t> </w:t>
      </w:r>
      <w:r w:rsidRPr="5604E761">
        <w:rPr>
          <w:rFonts w:ascii="Aptos" w:hAnsi="Aptos"/>
          <w:color w:val="002060"/>
          <w:sz w:val="22"/>
          <w:szCs w:val="22"/>
        </w:rPr>
        <w:t>na vyhodnocení způsobů a přínosů integrace telemedicíny a distanční zdravotní i sociální péče do specializované péče o pacienty s VO, včetně návrhu způsobu jejich implementace.</w:t>
      </w:r>
    </w:p>
    <w:p w14:paraId="5A6F5F43" w14:textId="77777777" w:rsidR="00133109" w:rsidRPr="00F72499" w:rsidRDefault="00133109" w:rsidP="00DB09C0">
      <w:pPr>
        <w:pStyle w:val="Odstavecseseznamem"/>
        <w:numPr>
          <w:ilvl w:val="0"/>
          <w:numId w:val="23"/>
        </w:numPr>
        <w:spacing w:after="0"/>
        <w:ind w:left="567"/>
        <w:rPr>
          <w:rFonts w:ascii="Aptos" w:hAnsi="Aptos"/>
          <w:b/>
          <w:bCs/>
          <w:color w:val="002060"/>
          <w:lang w:val="cs-CZ"/>
        </w:rPr>
      </w:pPr>
      <w:r w:rsidRPr="00F72499">
        <w:rPr>
          <w:rFonts w:ascii="Aptos" w:hAnsi="Aptos"/>
          <w:b/>
          <w:bCs/>
          <w:color w:val="002060"/>
          <w:lang w:val="cs-CZ"/>
        </w:rPr>
        <w:t>Implementační fáze 2 (2030–2032) – rozvoj, ukotvení a rozšíření specializované péče</w:t>
      </w:r>
    </w:p>
    <w:p w14:paraId="7DA68273" w14:textId="07DE2BE6" w:rsidR="00133109" w:rsidRPr="00F72499" w:rsidRDefault="00133109" w:rsidP="0070108D">
      <w:pPr>
        <w:ind w:left="567"/>
        <w:jc w:val="both"/>
        <w:rPr>
          <w:rFonts w:ascii="Aptos" w:hAnsi="Aptos"/>
          <w:color w:val="002060"/>
          <w:sz w:val="22"/>
          <w:szCs w:val="22"/>
        </w:rPr>
      </w:pPr>
      <w:r w:rsidRPr="00F72499">
        <w:rPr>
          <w:rFonts w:ascii="Aptos" w:hAnsi="Aptos"/>
          <w:color w:val="002060"/>
          <w:sz w:val="22"/>
          <w:szCs w:val="22"/>
        </w:rPr>
        <w:t>Cílem druhé fáze je navázat na mechanismy připravené a zahájené v první fázi, dále je rozvíjet a</w:t>
      </w:r>
      <w:r w:rsidR="00DB09C0" w:rsidRPr="00F72499">
        <w:rPr>
          <w:rFonts w:ascii="Aptos" w:hAnsi="Aptos"/>
          <w:color w:val="002060"/>
          <w:sz w:val="22"/>
          <w:szCs w:val="22"/>
        </w:rPr>
        <w:t> </w:t>
      </w:r>
      <w:r w:rsidRPr="00F72499">
        <w:rPr>
          <w:rFonts w:ascii="Aptos" w:hAnsi="Aptos"/>
          <w:color w:val="002060"/>
          <w:sz w:val="22"/>
          <w:szCs w:val="22"/>
        </w:rPr>
        <w:t>postupně ukotvovat v běžné praxi specializované péče. Společně s první fází představuje druhá fáze hlavní období věcné implementace strategického cíle 2.</w:t>
      </w:r>
    </w:p>
    <w:p w14:paraId="77E7724E" w14:textId="0BEA3661" w:rsidR="00133109" w:rsidRPr="00F72499" w:rsidRDefault="00133109" w:rsidP="0070108D">
      <w:pPr>
        <w:ind w:left="567"/>
        <w:jc w:val="both"/>
        <w:rPr>
          <w:rFonts w:ascii="Aptos" w:hAnsi="Aptos"/>
          <w:color w:val="002060"/>
          <w:sz w:val="22"/>
          <w:szCs w:val="22"/>
        </w:rPr>
      </w:pPr>
      <w:r w:rsidRPr="00F72499">
        <w:rPr>
          <w:rFonts w:ascii="Aptos" w:hAnsi="Aptos"/>
          <w:color w:val="002060"/>
          <w:sz w:val="22"/>
          <w:szCs w:val="22"/>
        </w:rPr>
        <w:t xml:space="preserve">V rámci specifického cíle 2.1 bude druhá fáze zaměřena zejména na vytvoření struktury pro zajištění péče o pacienty s nediagnostikovanými </w:t>
      </w:r>
      <w:r w:rsidR="00577EDD" w:rsidRPr="00F72499">
        <w:rPr>
          <w:rFonts w:ascii="Aptos" w:hAnsi="Aptos"/>
          <w:color w:val="002060"/>
          <w:sz w:val="22"/>
          <w:szCs w:val="22"/>
        </w:rPr>
        <w:t>VO</w:t>
      </w:r>
      <w:r w:rsidRPr="00F72499">
        <w:rPr>
          <w:rFonts w:ascii="Aptos" w:hAnsi="Aptos"/>
          <w:color w:val="002060"/>
          <w:sz w:val="22"/>
          <w:szCs w:val="22"/>
        </w:rPr>
        <w:t>. Toto opatření navazuje na potřebu lépe zachytit pacienty, u nichž dosud nebyla stanovena diagnóza, a vytvořit pro ně jasněji definovanou cestu systémem specializované péče.</w:t>
      </w:r>
    </w:p>
    <w:p w14:paraId="05191659" w14:textId="77777777" w:rsidR="00133109" w:rsidRPr="00F72499" w:rsidRDefault="6B103251" w:rsidP="0070108D">
      <w:pPr>
        <w:ind w:left="567"/>
        <w:jc w:val="both"/>
        <w:rPr>
          <w:rFonts w:ascii="Aptos" w:hAnsi="Aptos"/>
          <w:color w:val="002060"/>
          <w:sz w:val="22"/>
          <w:szCs w:val="22"/>
        </w:rPr>
      </w:pPr>
      <w:r w:rsidRPr="00F72499">
        <w:rPr>
          <w:rFonts w:ascii="Aptos" w:hAnsi="Aptos"/>
          <w:color w:val="002060"/>
          <w:sz w:val="22"/>
          <w:szCs w:val="22"/>
        </w:rPr>
        <w:lastRenderedPageBreak/>
        <w:t>V rámci specifického cíle 2.2 bude důraz kladen na vybavení CVSP-VO moderními technologiemi pro diagnostiku, léčbu, monitoraci a management péče o pacienty s VO. Součástí této fáze bude také multidisciplinární systematické hodnocení centralizovaně shromážděných dat a výsledků léčebných postupů, včetně využití HTA přístupů za účelem optimalizace systému úhrad specializované péče reflektující technologický rozvoj.</w:t>
      </w:r>
    </w:p>
    <w:p w14:paraId="3EB3FB38" w14:textId="77777777" w:rsidR="00133109" w:rsidRPr="00F72499" w:rsidRDefault="00133109" w:rsidP="00DB09C0">
      <w:pPr>
        <w:pStyle w:val="Odstavecseseznamem"/>
        <w:numPr>
          <w:ilvl w:val="0"/>
          <w:numId w:val="23"/>
        </w:numPr>
        <w:spacing w:after="0"/>
        <w:ind w:left="567"/>
        <w:rPr>
          <w:rFonts w:ascii="Aptos" w:hAnsi="Aptos"/>
          <w:b/>
          <w:bCs/>
          <w:color w:val="002060"/>
          <w:lang w:val="cs-CZ"/>
        </w:rPr>
      </w:pPr>
      <w:r w:rsidRPr="00F72499">
        <w:rPr>
          <w:rFonts w:ascii="Aptos" w:hAnsi="Aptos"/>
          <w:b/>
          <w:bCs/>
          <w:color w:val="002060"/>
          <w:lang w:val="cs-CZ"/>
        </w:rPr>
        <w:t>Implementační fáze 3 (2033–2035) – konsolidace, vyhodnocení a další rozvoj systému</w:t>
      </w:r>
    </w:p>
    <w:p w14:paraId="19B96ED5" w14:textId="165F0D0C" w:rsidR="00133109" w:rsidRPr="00F72499" w:rsidRDefault="00133109" w:rsidP="0070108D">
      <w:pPr>
        <w:ind w:left="567"/>
        <w:jc w:val="both"/>
        <w:rPr>
          <w:rFonts w:ascii="Aptos" w:hAnsi="Aptos"/>
          <w:color w:val="002060"/>
          <w:sz w:val="22"/>
          <w:szCs w:val="22"/>
        </w:rPr>
      </w:pPr>
      <w:r w:rsidRPr="00F72499">
        <w:rPr>
          <w:rFonts w:ascii="Aptos" w:hAnsi="Aptos"/>
          <w:color w:val="002060"/>
          <w:sz w:val="22"/>
          <w:szCs w:val="22"/>
        </w:rPr>
        <w:t>Třetí fáze již nepředstavuje hlavní období zavádění nových opatření strategického cíle 2, ale je zaměřena především na stabilizaci, vyhodnocení a další rozvoj mechanismů nastavených v</w:t>
      </w:r>
      <w:r w:rsidR="00DB09C0" w:rsidRPr="00F72499">
        <w:rPr>
          <w:rFonts w:ascii="Aptos" w:hAnsi="Aptos"/>
          <w:color w:val="002060"/>
          <w:sz w:val="22"/>
          <w:szCs w:val="22"/>
        </w:rPr>
        <w:t> </w:t>
      </w:r>
      <w:r w:rsidRPr="00F72499">
        <w:rPr>
          <w:rFonts w:ascii="Aptos" w:hAnsi="Aptos"/>
          <w:color w:val="002060"/>
          <w:sz w:val="22"/>
          <w:szCs w:val="22"/>
        </w:rPr>
        <w:t>předchozích dvou fázích. Jejím cílem je posoudit, do jaké míry přijatá opatření přispěla ke zvýšení kvality, efektivity a dostupnosti specializované péče o pacienty s</w:t>
      </w:r>
      <w:r w:rsidR="00577EDD" w:rsidRPr="00F72499">
        <w:rPr>
          <w:rFonts w:ascii="Aptos" w:hAnsi="Aptos"/>
          <w:color w:val="002060"/>
          <w:sz w:val="22"/>
          <w:szCs w:val="22"/>
        </w:rPr>
        <w:t xml:space="preserve"> VO</w:t>
      </w:r>
      <w:r w:rsidRPr="00F72499">
        <w:rPr>
          <w:rFonts w:ascii="Aptos" w:hAnsi="Aptos"/>
          <w:color w:val="002060"/>
          <w:sz w:val="22"/>
          <w:szCs w:val="22"/>
        </w:rPr>
        <w:t>.</w:t>
      </w:r>
    </w:p>
    <w:p w14:paraId="79DDB2E6" w14:textId="3334D193" w:rsidR="0079047F" w:rsidRPr="00F72499" w:rsidRDefault="00133109" w:rsidP="0070108D">
      <w:pPr>
        <w:ind w:left="567"/>
        <w:jc w:val="both"/>
        <w:rPr>
          <w:rFonts w:ascii="Aptos" w:hAnsi="Aptos"/>
          <w:color w:val="002060"/>
          <w:sz w:val="22"/>
          <w:szCs w:val="22"/>
        </w:rPr>
      </w:pPr>
      <w:r w:rsidRPr="135080A3">
        <w:rPr>
          <w:rFonts w:ascii="Aptos" w:hAnsi="Aptos"/>
          <w:color w:val="002060"/>
          <w:sz w:val="22"/>
          <w:szCs w:val="22"/>
        </w:rPr>
        <w:t>V této fázi bude kladen důraz zejména na vyhodnocení dopadů zavedených standardů péče, indikátorů kvality a efektivity, přechodové péče, nových forem poskytování péče, využívání CPMS, moderních technologií, telemedicíny a mechanismů pro předávání výstupů Poradního orgánu pro ORPHAN léčiva. Výsledky monitoringu a evaluace budou využity k aktualizaci standardů, úpravě systémových opatření a k dalšímu rozvoji specializované péče tak, aby odpovídala vývoji odborných poznatků, technologickým možnostem a reálným potřebám pacientů s</w:t>
      </w:r>
      <w:r w:rsidR="00577EDD" w:rsidRPr="135080A3">
        <w:rPr>
          <w:rFonts w:ascii="Aptos" w:hAnsi="Aptos"/>
          <w:color w:val="002060"/>
          <w:sz w:val="22"/>
          <w:szCs w:val="22"/>
        </w:rPr>
        <w:t xml:space="preserve"> VO</w:t>
      </w:r>
      <w:r w:rsidRPr="135080A3">
        <w:rPr>
          <w:rFonts w:ascii="Aptos" w:hAnsi="Aptos"/>
          <w:color w:val="002060"/>
          <w:sz w:val="22"/>
          <w:szCs w:val="22"/>
        </w:rPr>
        <w:t>.</w:t>
      </w:r>
    </w:p>
    <w:p w14:paraId="168461DF" w14:textId="7865ED94" w:rsidR="072D6C2E" w:rsidRDefault="072D6C2E" w:rsidP="135080A3">
      <w:pPr>
        <w:spacing w:before="240" w:after="0"/>
        <w:jc w:val="both"/>
        <w:rPr>
          <w:rFonts w:ascii="Aptos" w:eastAsia="Aptos" w:hAnsi="Aptos" w:cs="Aptos"/>
          <w:color w:val="002060"/>
          <w:sz w:val="22"/>
          <w:szCs w:val="22"/>
        </w:rPr>
      </w:pPr>
      <w:r w:rsidRPr="135080A3">
        <w:rPr>
          <w:rFonts w:ascii="Aptos" w:eastAsia="Aptos" w:hAnsi="Aptos" w:cs="Aptos"/>
          <w:b/>
          <w:bCs/>
          <w:color w:val="002060"/>
          <w:sz w:val="22"/>
          <w:szCs w:val="22"/>
        </w:rPr>
        <w:t>Pro účely efektivního řízení implementace budou:</w:t>
      </w:r>
    </w:p>
    <w:p w14:paraId="2DBF0C1B" w14:textId="034ACC47" w:rsidR="072D6C2E" w:rsidRDefault="072D6C2E" w:rsidP="135080A3">
      <w:pPr>
        <w:pStyle w:val="Odstavecseseznamem"/>
        <w:numPr>
          <w:ilvl w:val="0"/>
          <w:numId w:val="5"/>
        </w:numPr>
        <w:jc w:val="both"/>
        <w:rPr>
          <w:rFonts w:ascii="Aptos" w:eastAsia="Aptos" w:hAnsi="Aptos" w:cs="Aptos"/>
          <w:color w:val="002060"/>
          <w:lang w:val="cs-CZ"/>
        </w:rPr>
      </w:pPr>
      <w:r w:rsidRPr="135080A3">
        <w:rPr>
          <w:rFonts w:ascii="Aptos" w:eastAsia="Aptos" w:hAnsi="Aptos" w:cs="Aptos"/>
          <w:color w:val="002060"/>
          <w:lang w:val="cs-CZ"/>
        </w:rPr>
        <w:t>stanoveny roční milníky realizace,</w:t>
      </w:r>
    </w:p>
    <w:p w14:paraId="49C76FF1" w14:textId="75ECEEF2" w:rsidR="072D6C2E" w:rsidRDefault="072D6C2E" w:rsidP="135080A3">
      <w:pPr>
        <w:pStyle w:val="Odstavecseseznamem"/>
        <w:numPr>
          <w:ilvl w:val="0"/>
          <w:numId w:val="5"/>
        </w:numPr>
        <w:jc w:val="both"/>
        <w:rPr>
          <w:rFonts w:ascii="Aptos" w:eastAsia="Aptos" w:hAnsi="Aptos" w:cs="Aptos"/>
          <w:color w:val="002060"/>
          <w:lang w:val="cs-CZ"/>
        </w:rPr>
      </w:pPr>
      <w:r w:rsidRPr="135080A3">
        <w:rPr>
          <w:rFonts w:ascii="Aptos" w:eastAsia="Aptos" w:hAnsi="Aptos" w:cs="Aptos"/>
          <w:color w:val="002060"/>
          <w:lang w:val="cs-CZ"/>
        </w:rPr>
        <w:t>definovány průběžné kontrolní body,</w:t>
      </w:r>
    </w:p>
    <w:p w14:paraId="2B12E28B" w14:textId="381E0AD9" w:rsidR="072D6C2E" w:rsidRDefault="072D6C2E" w:rsidP="135080A3">
      <w:pPr>
        <w:pStyle w:val="Odstavecseseznamem"/>
        <w:numPr>
          <w:ilvl w:val="0"/>
          <w:numId w:val="5"/>
        </w:numPr>
        <w:jc w:val="both"/>
        <w:rPr>
          <w:rFonts w:ascii="Aptos" w:eastAsia="Aptos" w:hAnsi="Aptos" w:cs="Aptos"/>
          <w:color w:val="002060"/>
          <w:lang w:val="cs-CZ"/>
        </w:rPr>
      </w:pPr>
      <w:r w:rsidRPr="135080A3">
        <w:rPr>
          <w:rFonts w:ascii="Aptos" w:eastAsia="Aptos" w:hAnsi="Aptos" w:cs="Aptos"/>
          <w:color w:val="002060"/>
          <w:lang w:val="cs-CZ"/>
        </w:rPr>
        <w:t>zaveden mechanismus aktualizace harmonogramu na základě dosažených výsledků,</w:t>
      </w:r>
    </w:p>
    <w:p w14:paraId="2C44DCFF" w14:textId="042644A3" w:rsidR="072D6C2E" w:rsidRDefault="072D6C2E" w:rsidP="135080A3">
      <w:pPr>
        <w:pStyle w:val="Odstavecseseznamem"/>
        <w:numPr>
          <w:ilvl w:val="0"/>
          <w:numId w:val="5"/>
        </w:numPr>
        <w:jc w:val="both"/>
        <w:rPr>
          <w:rFonts w:ascii="Aptos" w:eastAsia="Aptos" w:hAnsi="Aptos" w:cs="Aptos"/>
          <w:color w:val="002060"/>
          <w:lang w:val="cs-CZ"/>
        </w:rPr>
      </w:pPr>
      <w:r w:rsidRPr="135080A3">
        <w:rPr>
          <w:rFonts w:ascii="Aptos" w:eastAsia="Aptos" w:hAnsi="Aptos" w:cs="Aptos"/>
          <w:color w:val="002060"/>
          <w:lang w:val="cs-CZ"/>
        </w:rPr>
        <w:t>po ukončení každého implementačního období vyhodnoceny dosažené výsledky a případně revidována navazující fáze implementace.</w:t>
      </w:r>
    </w:p>
    <w:p w14:paraId="0FCAB791" w14:textId="09D56F71" w:rsidR="00873D37" w:rsidRPr="00F72499" w:rsidRDefault="6B103251" w:rsidP="00DB09C0">
      <w:pPr>
        <w:pStyle w:val="Nadpis1"/>
        <w:spacing w:before="360" w:after="80" w:line="259" w:lineRule="auto"/>
        <w:ind w:left="432" w:hanging="432"/>
        <w:rPr>
          <w:rFonts w:ascii="Aptos" w:hAnsi="Aptos"/>
          <w:b w:val="0"/>
          <w:bCs w:val="0"/>
          <w:color w:val="002060"/>
          <w:kern w:val="2"/>
          <w:sz w:val="40"/>
          <w:szCs w:val="40"/>
          <w:lang w:val="cs-CZ"/>
          <w14:ligatures w14:val="standardContextual"/>
        </w:rPr>
      </w:pPr>
      <w:bookmarkStart w:id="11" w:name="_Toc231330682"/>
      <w:r w:rsidRPr="00F72499">
        <w:rPr>
          <w:rFonts w:ascii="Aptos" w:hAnsi="Aptos"/>
          <w:b w:val="0"/>
          <w:bCs w:val="0"/>
          <w:color w:val="002060"/>
          <w:kern w:val="2"/>
          <w:sz w:val="40"/>
          <w:szCs w:val="40"/>
          <w:lang w:val="cs-CZ"/>
          <w14:ligatures w14:val="standardContextual"/>
        </w:rPr>
        <w:t xml:space="preserve">5 </w:t>
      </w:r>
      <w:r w:rsidR="00DB09C0" w:rsidRPr="00F72499">
        <w:rPr>
          <w:rFonts w:ascii="Aptos" w:hAnsi="Aptos"/>
          <w:b w:val="0"/>
          <w:bCs w:val="0"/>
          <w:color w:val="002060"/>
          <w:kern w:val="2"/>
          <w:sz w:val="40"/>
          <w:szCs w:val="40"/>
          <w:lang w:val="cs-CZ"/>
          <w14:ligatures w14:val="standardContextual"/>
        </w:rPr>
        <w:t xml:space="preserve">  </w:t>
      </w:r>
      <w:r w:rsidRPr="00F72499">
        <w:rPr>
          <w:rFonts w:ascii="Aptos" w:hAnsi="Aptos"/>
          <w:b w:val="0"/>
          <w:bCs w:val="0"/>
          <w:color w:val="002060"/>
          <w:kern w:val="2"/>
          <w:sz w:val="40"/>
          <w:szCs w:val="40"/>
          <w:lang w:val="cs-CZ"/>
          <w14:ligatures w14:val="standardContextual"/>
        </w:rPr>
        <w:t>Implementace strategického cíle 2: Zvýšení efektivity a kvality zdravotní péče</w:t>
      </w:r>
      <w:bookmarkEnd w:id="11"/>
    </w:p>
    <w:p w14:paraId="25B12912" w14:textId="38B26EB7" w:rsidR="6B103251" w:rsidRPr="00F72499" w:rsidRDefault="6B103251" w:rsidP="00291E62">
      <w:pPr>
        <w:spacing w:after="160"/>
        <w:jc w:val="both"/>
        <w:rPr>
          <w:rFonts w:ascii="Aptos" w:eastAsiaTheme="minorHAnsi" w:hAnsi="Aptos"/>
          <w:color w:val="002060"/>
          <w:kern w:val="2"/>
          <w:sz w:val="22"/>
          <w:szCs w:val="22"/>
          <w14:ligatures w14:val="standardContextual"/>
        </w:rPr>
      </w:pPr>
      <w:r w:rsidRPr="00F72499">
        <w:rPr>
          <w:rFonts w:ascii="Aptos" w:eastAsiaTheme="minorHAnsi" w:hAnsi="Aptos"/>
          <w:color w:val="002060"/>
          <w:kern w:val="2"/>
          <w:sz w:val="22"/>
          <w:szCs w:val="22"/>
          <w14:ligatures w14:val="standardContextual"/>
        </w:rPr>
        <w:t>Strategický cíl 2 je zaměřen na postupné zlepšování dostupnosti, kvality, efektivity a</w:t>
      </w:r>
      <w:r w:rsidR="00DB09C0"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komplexnosti zdravotní péče o pacienty s</w:t>
      </w:r>
      <w:r w:rsidR="00577EDD" w:rsidRPr="00F72499">
        <w:rPr>
          <w:rFonts w:ascii="Aptos" w:eastAsiaTheme="minorHAnsi" w:hAnsi="Aptos"/>
          <w:color w:val="002060"/>
          <w:kern w:val="2"/>
          <w:sz w:val="22"/>
          <w:szCs w:val="22"/>
          <w14:ligatures w14:val="standardContextual"/>
        </w:rPr>
        <w:t xml:space="preserve"> VO</w:t>
      </w:r>
      <w:r w:rsidRPr="00F72499">
        <w:rPr>
          <w:rFonts w:ascii="Aptos" w:eastAsiaTheme="minorHAnsi" w:hAnsi="Aptos"/>
          <w:color w:val="002060"/>
          <w:kern w:val="2"/>
          <w:sz w:val="22"/>
          <w:szCs w:val="22"/>
          <w14:ligatures w14:val="standardContextual"/>
        </w:rPr>
        <w:t>. Jeho naplňování vychází z principu rozhodování založeného na systematicky shromažďovaných a průběžně zkvalitňovaných datech, která umožní efektivní nastavení a další rozvoj Národní sítě center vysoce specializované zdravotní péče pro pacienty s</w:t>
      </w:r>
      <w:r w:rsidR="00577EDD" w:rsidRPr="00F72499">
        <w:rPr>
          <w:rFonts w:ascii="Aptos" w:eastAsiaTheme="minorHAnsi" w:hAnsi="Aptos"/>
          <w:color w:val="002060"/>
          <w:kern w:val="2"/>
          <w:sz w:val="22"/>
          <w:szCs w:val="22"/>
          <w14:ligatures w14:val="standardContextual"/>
        </w:rPr>
        <w:t xml:space="preserve"> VO </w:t>
      </w:r>
      <w:r w:rsidR="6D09818D" w:rsidRPr="00F72499">
        <w:rPr>
          <w:rFonts w:ascii="Aptos" w:eastAsiaTheme="minorHAnsi" w:hAnsi="Aptos"/>
          <w:color w:val="002060"/>
          <w:kern w:val="2"/>
          <w:sz w:val="22"/>
          <w:szCs w:val="22"/>
          <w14:ligatures w14:val="standardContextual"/>
        </w:rPr>
        <w:t>a spolupracujících pracovišť</w:t>
      </w:r>
      <w:r w:rsidRPr="00F72499">
        <w:rPr>
          <w:rFonts w:ascii="Aptos" w:eastAsiaTheme="minorHAnsi" w:hAnsi="Aptos"/>
          <w:color w:val="002060"/>
          <w:kern w:val="2"/>
          <w:sz w:val="22"/>
          <w:szCs w:val="22"/>
          <w14:ligatures w14:val="standardContextual"/>
        </w:rPr>
        <w:t>. Klíčovou roli přitom hraje budování zkušených odborných týmů, zajištění odpovídajících kapacit a vytváření podmínek pro vysokou kvalitu, bezpečnost a</w:t>
      </w:r>
      <w:r w:rsidR="00291E62"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dostupnost péče. Nedílnou součástí je také využívání standardizovaných postupů, moderních technologií a funkční spolupráce na národní i mezinárodní úrovni.</w:t>
      </w:r>
    </w:p>
    <w:p w14:paraId="2A75571E" w14:textId="2F2E3BED" w:rsidR="00873D37" w:rsidRPr="00F72499" w:rsidRDefault="6B103251" w:rsidP="00291E62">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12" w:name="_Toc231330683"/>
      <w:proofErr w:type="gramStart"/>
      <w:r w:rsidRPr="00F72499">
        <w:rPr>
          <w:rFonts w:ascii="Aptos" w:hAnsi="Aptos"/>
          <w:b w:val="0"/>
          <w:bCs w:val="0"/>
          <w:color w:val="002060"/>
          <w:kern w:val="2"/>
          <w:sz w:val="32"/>
          <w:szCs w:val="32"/>
          <w:lang w:val="cs-CZ"/>
          <w14:ligatures w14:val="standardContextual"/>
        </w:rPr>
        <w:t xml:space="preserve">5.1 </w:t>
      </w:r>
      <w:r w:rsidR="00291E62" w:rsidRPr="00F72499">
        <w:rPr>
          <w:rFonts w:ascii="Aptos" w:hAnsi="Aptos"/>
          <w:b w:val="0"/>
          <w:bCs w:val="0"/>
          <w:color w:val="002060"/>
          <w:kern w:val="2"/>
          <w:sz w:val="32"/>
          <w:szCs w:val="32"/>
          <w:lang w:val="cs-CZ"/>
          <w14:ligatures w14:val="standardContextual"/>
        </w:rPr>
        <w:t xml:space="preserve"> </w:t>
      </w:r>
      <w:r w:rsidRPr="00F72499">
        <w:rPr>
          <w:rFonts w:ascii="Aptos" w:hAnsi="Aptos"/>
          <w:b w:val="0"/>
          <w:bCs w:val="0"/>
          <w:color w:val="002060"/>
          <w:kern w:val="2"/>
          <w:sz w:val="32"/>
          <w:szCs w:val="32"/>
          <w:lang w:val="cs-CZ"/>
          <w14:ligatures w14:val="standardContextual"/>
        </w:rPr>
        <w:t>Implementace</w:t>
      </w:r>
      <w:proofErr w:type="gramEnd"/>
      <w:r w:rsidRPr="00F72499">
        <w:rPr>
          <w:rFonts w:ascii="Aptos" w:hAnsi="Aptos"/>
          <w:b w:val="0"/>
          <w:bCs w:val="0"/>
          <w:color w:val="002060"/>
          <w:kern w:val="2"/>
          <w:sz w:val="32"/>
          <w:szCs w:val="32"/>
          <w:lang w:val="cs-CZ"/>
          <w14:ligatures w14:val="standardContextual"/>
        </w:rPr>
        <w:t xml:space="preserve"> specifického cíle 2.1: Organizace zdravotní</w:t>
      </w:r>
      <w:r w:rsidR="00291E62" w:rsidRPr="00F72499">
        <w:rPr>
          <w:rFonts w:ascii="Aptos" w:hAnsi="Aptos"/>
          <w:b w:val="0"/>
          <w:bCs w:val="0"/>
          <w:color w:val="002060"/>
          <w:kern w:val="2"/>
          <w:sz w:val="32"/>
          <w:szCs w:val="32"/>
          <w:lang w:val="cs-CZ"/>
          <w14:ligatures w14:val="standardContextual"/>
        </w:rPr>
        <w:t xml:space="preserve"> </w:t>
      </w:r>
      <w:r w:rsidRPr="00F72499">
        <w:rPr>
          <w:rFonts w:ascii="Aptos" w:hAnsi="Aptos"/>
          <w:b w:val="0"/>
          <w:bCs w:val="0"/>
          <w:color w:val="002060"/>
          <w:kern w:val="2"/>
          <w:sz w:val="32"/>
          <w:szCs w:val="32"/>
          <w:lang w:val="cs-CZ"/>
          <w14:ligatures w14:val="standardContextual"/>
        </w:rPr>
        <w:t>péče s důrazem na centralizaci prostřednictvím národních a</w:t>
      </w:r>
      <w:r w:rsidR="00291E62" w:rsidRPr="00F72499">
        <w:rPr>
          <w:rFonts w:ascii="Aptos" w:hAnsi="Aptos"/>
          <w:b w:val="0"/>
          <w:bCs w:val="0"/>
          <w:color w:val="002060"/>
          <w:kern w:val="2"/>
          <w:sz w:val="32"/>
          <w:szCs w:val="32"/>
          <w:lang w:val="cs-CZ"/>
          <w14:ligatures w14:val="standardContextual"/>
        </w:rPr>
        <w:t> </w:t>
      </w:r>
      <w:r w:rsidRPr="00F72499">
        <w:rPr>
          <w:rFonts w:ascii="Aptos" w:hAnsi="Aptos"/>
          <w:b w:val="0"/>
          <w:bCs w:val="0"/>
          <w:color w:val="002060"/>
          <w:kern w:val="2"/>
          <w:sz w:val="32"/>
          <w:szCs w:val="32"/>
          <w:lang w:val="cs-CZ"/>
          <w14:ligatures w14:val="standardContextual"/>
        </w:rPr>
        <w:t>mezinárodních sítí</w:t>
      </w:r>
      <w:bookmarkEnd w:id="12"/>
    </w:p>
    <w:p w14:paraId="724CA68E" w14:textId="43EDA489" w:rsidR="6B103251" w:rsidRPr="00F72499" w:rsidRDefault="6B103251" w:rsidP="00291E62">
      <w:pPr>
        <w:spacing w:after="160" w:line="259" w:lineRule="auto"/>
        <w:jc w:val="both"/>
        <w:rPr>
          <w:rFonts w:ascii="Aptos" w:eastAsiaTheme="minorHAnsi" w:hAnsi="Aptos"/>
          <w:color w:val="002060"/>
          <w:kern w:val="2"/>
          <w:sz w:val="22"/>
          <w:szCs w:val="22"/>
          <w14:ligatures w14:val="standardContextual"/>
        </w:rPr>
      </w:pPr>
      <w:r w:rsidRPr="00F72499">
        <w:rPr>
          <w:rFonts w:ascii="Aptos" w:eastAsiaTheme="minorHAnsi" w:hAnsi="Aptos"/>
          <w:color w:val="002060"/>
          <w:kern w:val="2"/>
          <w:sz w:val="22"/>
          <w:szCs w:val="22"/>
          <w14:ligatures w14:val="standardContextual"/>
        </w:rPr>
        <w:t>Specifický cíl 2.1 se zaměřuje na systematické a daty podložené nastavení organizace péče o</w:t>
      </w:r>
      <w:r w:rsidR="00291E62"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pacienty</w:t>
      </w:r>
      <w:r w:rsidR="00577EDD" w:rsidRPr="00F72499">
        <w:rPr>
          <w:rFonts w:ascii="Aptos" w:eastAsiaTheme="minorHAnsi" w:hAnsi="Aptos"/>
          <w:color w:val="002060"/>
          <w:kern w:val="2"/>
          <w:sz w:val="22"/>
          <w:szCs w:val="22"/>
          <w14:ligatures w14:val="standardContextual"/>
        </w:rPr>
        <w:t xml:space="preserve"> s VO</w:t>
      </w:r>
      <w:r w:rsidRPr="00F72499">
        <w:rPr>
          <w:rFonts w:ascii="Aptos" w:eastAsiaTheme="minorHAnsi" w:hAnsi="Aptos"/>
          <w:color w:val="002060"/>
          <w:kern w:val="2"/>
          <w:sz w:val="22"/>
          <w:szCs w:val="22"/>
          <w14:ligatures w14:val="standardContextual"/>
        </w:rPr>
        <w:t xml:space="preserve">. Důraz je kladen na postupné a efektivní vymezování a rozvoj Národní sítě center </w:t>
      </w:r>
      <w:r w:rsidRPr="00F72499">
        <w:rPr>
          <w:rFonts w:ascii="Aptos" w:eastAsiaTheme="minorHAnsi" w:hAnsi="Aptos"/>
          <w:color w:val="002060"/>
          <w:kern w:val="2"/>
          <w:sz w:val="22"/>
          <w:szCs w:val="22"/>
          <w14:ligatures w14:val="standardContextual"/>
        </w:rPr>
        <w:lastRenderedPageBreak/>
        <w:t>vysoce specializované zdravotní péče pro pacienty s</w:t>
      </w:r>
      <w:r w:rsidR="00577EDD" w:rsidRPr="00F72499">
        <w:rPr>
          <w:rFonts w:ascii="Aptos" w:eastAsiaTheme="minorHAnsi" w:hAnsi="Aptos"/>
          <w:color w:val="002060"/>
          <w:kern w:val="2"/>
          <w:sz w:val="22"/>
          <w:szCs w:val="22"/>
          <w14:ligatures w14:val="standardContextual"/>
        </w:rPr>
        <w:t xml:space="preserve"> VO </w:t>
      </w:r>
      <w:r w:rsidR="0CA493FF" w:rsidRPr="00F72499">
        <w:rPr>
          <w:rFonts w:ascii="Aptos" w:eastAsiaTheme="minorHAnsi" w:hAnsi="Aptos"/>
          <w:color w:val="002060"/>
          <w:kern w:val="2"/>
          <w:sz w:val="22"/>
          <w:szCs w:val="22"/>
          <w14:ligatures w14:val="standardContextual"/>
        </w:rPr>
        <w:t>a spolupracujících pracovišť</w:t>
      </w:r>
      <w:r w:rsidRPr="00F72499">
        <w:rPr>
          <w:rFonts w:ascii="Aptos" w:eastAsiaTheme="minorHAnsi" w:hAnsi="Aptos"/>
          <w:color w:val="002060"/>
          <w:kern w:val="2"/>
          <w:sz w:val="22"/>
          <w:szCs w:val="22"/>
          <w14:ligatures w14:val="standardContextual"/>
        </w:rPr>
        <w:t>, a to na základě průběžně zkvalitňovaných dat a vyhodnocování potřeb pacientů i kapacit systému. Součástí je také vymezení kompetencí jednotlivých úrovní péče, tvorba a aktualizace standardů péče, nastavení a sledování indikátorů kvality a efektivity a</w:t>
      </w:r>
      <w:r w:rsidR="00577EDD"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zajištění plynulé návaznosti, včetně přechodu mezi dětskou a dospělou zdravotní péčí.</w:t>
      </w:r>
    </w:p>
    <w:tbl>
      <w:tblPr>
        <w:tblStyle w:val="Mkatabul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371"/>
      </w:tblGrid>
      <w:tr w:rsidR="00873D37" w:rsidRPr="00F72499" w14:paraId="358854DB" w14:textId="77777777" w:rsidTr="135080A3">
        <w:trPr>
          <w:trHeight w:val="680"/>
          <w:tblHeader/>
          <w:jc w:val="center"/>
        </w:trPr>
        <w:tc>
          <w:tcPr>
            <w:tcW w:w="9072" w:type="dxa"/>
            <w:gridSpan w:val="2"/>
            <w:tcBorders>
              <w:top w:val="single" w:sz="4" w:space="0" w:color="002060"/>
              <w:bottom w:val="single" w:sz="4" w:space="0" w:color="002060"/>
            </w:tcBorders>
            <w:shd w:val="clear" w:color="auto" w:fill="E6F6F1"/>
            <w:vAlign w:val="center"/>
          </w:tcPr>
          <w:p w14:paraId="631EF420" w14:textId="7F400C77" w:rsidR="00873D37" w:rsidRPr="00F72499" w:rsidRDefault="00C05BF8" w:rsidP="1EB33230">
            <w:pPr>
              <w:spacing w:after="0" w:line="252" w:lineRule="auto"/>
              <w:jc w:val="center"/>
              <w:rPr>
                <w:rFonts w:ascii="Aptos" w:hAnsi="Aptos"/>
                <w:color w:val="002060"/>
                <w:sz w:val="28"/>
                <w:szCs w:val="28"/>
              </w:rPr>
            </w:pPr>
            <w:r w:rsidRPr="00F72499">
              <w:rPr>
                <w:rFonts w:ascii="Aptos" w:hAnsi="Aptos"/>
                <w:b/>
                <w:bCs/>
                <w:color w:val="002060"/>
                <w:sz w:val="28"/>
                <w:szCs w:val="28"/>
              </w:rPr>
              <w:t xml:space="preserve">Organizace zdravotní péče s důrazem na centralizaci </w:t>
            </w:r>
            <w:r w:rsidR="00497BDA" w:rsidRPr="00F72499">
              <w:rPr>
                <w:rFonts w:ascii="Aptos" w:hAnsi="Aptos"/>
                <w:b/>
                <w:bCs/>
                <w:color w:val="002060"/>
                <w:sz w:val="28"/>
                <w:szCs w:val="28"/>
              </w:rPr>
              <w:br/>
            </w:r>
            <w:r w:rsidRPr="00F72499">
              <w:rPr>
                <w:rFonts w:ascii="Aptos" w:hAnsi="Aptos"/>
                <w:b/>
                <w:bCs/>
                <w:color w:val="002060"/>
                <w:sz w:val="28"/>
                <w:szCs w:val="28"/>
              </w:rPr>
              <w:t>prostřednictvím národních a mezinárodních sítí</w:t>
            </w:r>
          </w:p>
        </w:tc>
      </w:tr>
      <w:tr w:rsidR="00873D37" w:rsidRPr="00F72499" w14:paraId="71A041BE" w14:textId="77777777" w:rsidTr="135080A3">
        <w:trPr>
          <w:jc w:val="center"/>
        </w:trPr>
        <w:tc>
          <w:tcPr>
            <w:tcW w:w="1701" w:type="dxa"/>
            <w:tcBorders>
              <w:top w:val="single" w:sz="4" w:space="0" w:color="002060"/>
              <w:bottom w:val="single" w:sz="4" w:space="0" w:color="002060"/>
              <w:right w:val="single" w:sz="4" w:space="0" w:color="002060"/>
            </w:tcBorders>
            <w:vAlign w:val="center"/>
          </w:tcPr>
          <w:p w14:paraId="4A2C183F" w14:textId="65D9BB58"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 xml:space="preserve">Příspěvek </w:t>
            </w:r>
            <w:r w:rsidR="00497BDA" w:rsidRPr="00F72499">
              <w:rPr>
                <w:rFonts w:ascii="Aptos" w:hAnsi="Aptos"/>
                <w:b/>
                <w:bCs/>
                <w:color w:val="002060"/>
                <w:sz w:val="22"/>
                <w:szCs w:val="22"/>
              </w:rPr>
              <w:br/>
            </w:r>
            <w:r w:rsidRPr="00F72499">
              <w:rPr>
                <w:rFonts w:ascii="Aptos" w:hAnsi="Aptos"/>
                <w:b/>
                <w:bCs/>
                <w:color w:val="002060"/>
                <w:sz w:val="22"/>
                <w:szCs w:val="22"/>
              </w:rPr>
              <w:t xml:space="preserve">k naplnění strategického </w:t>
            </w:r>
            <w:r w:rsidR="00497BDA" w:rsidRPr="00F72499">
              <w:rPr>
                <w:rFonts w:ascii="Aptos" w:hAnsi="Aptos"/>
                <w:b/>
                <w:bCs/>
                <w:color w:val="002060"/>
                <w:sz w:val="22"/>
                <w:szCs w:val="22"/>
              </w:rPr>
              <w:br/>
            </w:r>
            <w:r w:rsidRPr="00F72499">
              <w:rPr>
                <w:rFonts w:ascii="Aptos" w:hAnsi="Aptos"/>
                <w:b/>
                <w:bCs/>
                <w:color w:val="002060"/>
                <w:sz w:val="22"/>
                <w:szCs w:val="22"/>
              </w:rPr>
              <w:t>cíle</w:t>
            </w:r>
          </w:p>
        </w:tc>
        <w:tc>
          <w:tcPr>
            <w:tcW w:w="7371" w:type="dxa"/>
            <w:tcBorders>
              <w:top w:val="single" w:sz="4" w:space="0" w:color="002060"/>
              <w:left w:val="single" w:sz="4" w:space="0" w:color="002060"/>
              <w:bottom w:val="single" w:sz="4" w:space="0" w:color="002060"/>
            </w:tcBorders>
          </w:tcPr>
          <w:p w14:paraId="18AAF5B1" w14:textId="314FCDCE" w:rsidR="00873D37" w:rsidRPr="00F72499" w:rsidRDefault="6B103251" w:rsidP="00497BDA">
            <w:pPr>
              <w:spacing w:before="120" w:after="160" w:line="259" w:lineRule="auto"/>
              <w:ind w:left="113" w:right="113"/>
              <w:jc w:val="both"/>
              <w:textAlignment w:val="baseline"/>
              <w:rPr>
                <w:rFonts w:ascii="Aptos" w:hAnsi="Aptos"/>
                <w:color w:val="002060"/>
                <w:sz w:val="22"/>
                <w:szCs w:val="22"/>
              </w:rPr>
            </w:pPr>
            <w:r w:rsidRPr="00F72499">
              <w:rPr>
                <w:rFonts w:ascii="Aptos" w:eastAsia="Times New Roman" w:hAnsi="Aptos" w:cs="Arial"/>
                <w:color w:val="002060"/>
                <w:sz w:val="22"/>
                <w:szCs w:val="22"/>
                <w:lang w:eastAsia="cs-CZ"/>
              </w:rPr>
              <w:t xml:space="preserve">Specifický cíl 2.1 vytváří organizační základ pro dostupnou a kvalitní specializovanou péči. Systematické a daty podložené nastavení organizace </w:t>
            </w:r>
            <w:r w:rsidR="00291E62" w:rsidRPr="00F72499">
              <w:rPr>
                <w:rFonts w:ascii="Aptos" w:eastAsia="Times New Roman" w:hAnsi="Aptos" w:cs="Arial"/>
                <w:color w:val="002060"/>
                <w:sz w:val="22"/>
                <w:szCs w:val="22"/>
                <w:lang w:eastAsia="cs-CZ"/>
              </w:rPr>
              <w:t>péče umožňuje</w:t>
            </w:r>
            <w:r w:rsidRPr="00F72499">
              <w:rPr>
                <w:rFonts w:ascii="Aptos" w:eastAsia="Times New Roman" w:hAnsi="Aptos" w:cs="Arial"/>
                <w:color w:val="002060"/>
                <w:sz w:val="22"/>
                <w:szCs w:val="22"/>
                <w:lang w:eastAsia="cs-CZ"/>
              </w:rPr>
              <w:t xml:space="preserve"> soustředit expertízu, lépe využívat kapacity a</w:t>
            </w:r>
            <w:r w:rsidR="00497BDA" w:rsidRPr="00F72499">
              <w:rPr>
                <w:rFonts w:ascii="Aptos" w:eastAsia="Times New Roman" w:hAnsi="Aptos" w:cs="Arial"/>
                <w:color w:val="002060"/>
                <w:sz w:val="22"/>
                <w:szCs w:val="22"/>
                <w:lang w:eastAsia="cs-CZ"/>
              </w:rPr>
              <w:t> </w:t>
            </w:r>
            <w:r w:rsidRPr="00F72499">
              <w:rPr>
                <w:rFonts w:ascii="Aptos" w:eastAsia="Times New Roman" w:hAnsi="Aptos" w:cs="Arial"/>
                <w:color w:val="002060"/>
                <w:sz w:val="22"/>
                <w:szCs w:val="22"/>
                <w:lang w:eastAsia="cs-CZ"/>
              </w:rPr>
              <w:t xml:space="preserve">zajistit, aby pacienti byli směrováni na odpovídající úroveň péče bez zbytečných prodlev, </w:t>
            </w:r>
            <w:r w:rsidR="00291E62" w:rsidRPr="00F72499">
              <w:rPr>
                <w:rFonts w:ascii="Aptos" w:eastAsia="Times New Roman" w:hAnsi="Aptos" w:cs="Arial"/>
                <w:color w:val="002060"/>
                <w:sz w:val="22"/>
                <w:szCs w:val="22"/>
                <w:lang w:eastAsia="cs-CZ"/>
              </w:rPr>
              <w:t>duplicit a</w:t>
            </w:r>
            <w:r w:rsidRPr="00F72499">
              <w:rPr>
                <w:rFonts w:ascii="Aptos" w:eastAsia="Times New Roman" w:hAnsi="Aptos" w:cs="Arial"/>
                <w:color w:val="002060"/>
                <w:sz w:val="22"/>
                <w:szCs w:val="22"/>
                <w:lang w:eastAsia="cs-CZ"/>
              </w:rPr>
              <w:t xml:space="preserve"> administrativní zátěže.</w:t>
            </w:r>
          </w:p>
        </w:tc>
      </w:tr>
      <w:tr w:rsidR="00873D37" w:rsidRPr="00F72499" w14:paraId="34FADC37" w14:textId="77777777" w:rsidTr="135080A3">
        <w:trPr>
          <w:jc w:val="center"/>
        </w:trPr>
        <w:tc>
          <w:tcPr>
            <w:tcW w:w="1701" w:type="dxa"/>
            <w:tcBorders>
              <w:top w:val="single" w:sz="4" w:space="0" w:color="002060"/>
              <w:right w:val="single" w:sz="4" w:space="0" w:color="002060"/>
            </w:tcBorders>
            <w:vAlign w:val="center"/>
          </w:tcPr>
          <w:p w14:paraId="2C0709F0"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Popis žádoucího stavu</w:t>
            </w:r>
          </w:p>
        </w:tc>
        <w:tc>
          <w:tcPr>
            <w:tcW w:w="7371" w:type="dxa"/>
            <w:tcBorders>
              <w:top w:val="single" w:sz="4" w:space="0" w:color="002060"/>
              <w:left w:val="single" w:sz="4" w:space="0" w:color="002060"/>
            </w:tcBorders>
          </w:tcPr>
          <w:p w14:paraId="5D6EFA16" w14:textId="0D39C16F" w:rsidR="6B103251" w:rsidRPr="00F72499" w:rsidRDefault="6B103251" w:rsidP="00497BDA">
            <w:pPr>
              <w:spacing w:before="120" w:line="252" w:lineRule="auto"/>
              <w:ind w:left="159" w:right="170"/>
              <w:jc w:val="both"/>
              <w:rPr>
                <w:rFonts w:ascii="Aptos" w:hAnsi="Aptos"/>
                <w:color w:val="002060"/>
                <w:sz w:val="22"/>
                <w:szCs w:val="22"/>
              </w:rPr>
            </w:pPr>
            <w:r w:rsidRPr="00F72499">
              <w:rPr>
                <w:rFonts w:ascii="Aptos" w:hAnsi="Aptos"/>
                <w:color w:val="002060"/>
                <w:sz w:val="22"/>
                <w:szCs w:val="22"/>
              </w:rPr>
              <w:t xml:space="preserve">V žádoucím stavu je péče o jednotlivé skupiny </w:t>
            </w:r>
            <w:r w:rsidR="00577EDD" w:rsidRPr="00F72499">
              <w:rPr>
                <w:rFonts w:ascii="Aptos" w:hAnsi="Aptos"/>
                <w:color w:val="002060"/>
                <w:sz w:val="22"/>
                <w:szCs w:val="22"/>
              </w:rPr>
              <w:t>VO</w:t>
            </w:r>
            <w:r w:rsidRPr="00F72499">
              <w:rPr>
                <w:rFonts w:ascii="Aptos" w:hAnsi="Aptos"/>
                <w:color w:val="002060"/>
                <w:sz w:val="22"/>
                <w:szCs w:val="22"/>
              </w:rPr>
              <w:t xml:space="preserve"> organizována prostřednictvím funkční a koordinované Národní sítě center vysoce specializované zdravotní péče pro pacienty </w:t>
            </w:r>
            <w:r w:rsidR="00577EDD" w:rsidRPr="00F72499">
              <w:rPr>
                <w:rFonts w:ascii="Aptos" w:hAnsi="Aptos"/>
                <w:color w:val="002060"/>
                <w:sz w:val="22"/>
                <w:szCs w:val="22"/>
              </w:rPr>
              <w:t xml:space="preserve">s VO </w:t>
            </w:r>
            <w:r w:rsidR="4438DDFB" w:rsidRPr="00F72499">
              <w:rPr>
                <w:rFonts w:ascii="Aptos" w:hAnsi="Aptos"/>
                <w:color w:val="002060"/>
                <w:sz w:val="22"/>
                <w:szCs w:val="22"/>
              </w:rPr>
              <w:t>a spolupracujících pracovišť</w:t>
            </w:r>
            <w:r w:rsidRPr="00F72499">
              <w:rPr>
                <w:rFonts w:ascii="Aptos" w:hAnsi="Aptos"/>
                <w:color w:val="002060"/>
                <w:sz w:val="22"/>
                <w:szCs w:val="22"/>
              </w:rPr>
              <w:t>, jejíž podoba vychází z dostupných a</w:t>
            </w:r>
            <w:r w:rsidR="00577EDD" w:rsidRPr="00F72499">
              <w:rPr>
                <w:rFonts w:ascii="Aptos" w:hAnsi="Aptos"/>
                <w:color w:val="002060"/>
                <w:sz w:val="22"/>
                <w:szCs w:val="22"/>
              </w:rPr>
              <w:t> </w:t>
            </w:r>
            <w:r w:rsidRPr="00F72499">
              <w:rPr>
                <w:rFonts w:ascii="Aptos" w:hAnsi="Aptos"/>
                <w:color w:val="002060"/>
                <w:sz w:val="22"/>
                <w:szCs w:val="22"/>
              </w:rPr>
              <w:t xml:space="preserve">průběžně zkvalitňovaných dat. Tato </w:t>
            </w:r>
            <w:r w:rsidR="4144A0D0" w:rsidRPr="00F72499">
              <w:rPr>
                <w:rFonts w:ascii="Aptos" w:hAnsi="Aptos"/>
                <w:color w:val="002060"/>
                <w:sz w:val="22"/>
                <w:szCs w:val="22"/>
              </w:rPr>
              <w:t xml:space="preserve">pracoviště </w:t>
            </w:r>
            <w:r w:rsidRPr="00F72499">
              <w:rPr>
                <w:rFonts w:ascii="Aptos" w:hAnsi="Aptos"/>
                <w:color w:val="002060"/>
                <w:sz w:val="22"/>
                <w:szCs w:val="22"/>
              </w:rPr>
              <w:t xml:space="preserve">spolupracují mezi sebou </w:t>
            </w:r>
            <w:r w:rsidR="5DD5E3FA" w:rsidRPr="00F72499">
              <w:rPr>
                <w:rFonts w:ascii="Aptos" w:hAnsi="Aptos"/>
                <w:color w:val="002060"/>
                <w:sz w:val="22"/>
                <w:szCs w:val="22"/>
              </w:rPr>
              <w:t>a</w:t>
            </w:r>
            <w:r w:rsidR="004D3148" w:rsidRPr="00F72499">
              <w:rPr>
                <w:rFonts w:ascii="Aptos" w:hAnsi="Aptos"/>
                <w:color w:val="002060"/>
                <w:sz w:val="22"/>
                <w:szCs w:val="22"/>
              </w:rPr>
              <w:t> </w:t>
            </w:r>
            <w:r w:rsidR="5DD5E3FA" w:rsidRPr="00F72499">
              <w:rPr>
                <w:rFonts w:ascii="Aptos" w:hAnsi="Aptos"/>
                <w:color w:val="002060"/>
                <w:sz w:val="22"/>
                <w:szCs w:val="22"/>
              </w:rPr>
              <w:t>v</w:t>
            </w:r>
            <w:r w:rsidR="004D3148" w:rsidRPr="00F72499">
              <w:rPr>
                <w:rFonts w:ascii="Aptos" w:hAnsi="Aptos"/>
                <w:color w:val="002060"/>
                <w:sz w:val="22"/>
                <w:szCs w:val="22"/>
              </w:rPr>
              <w:t> </w:t>
            </w:r>
            <w:r w:rsidR="5DD5E3FA" w:rsidRPr="00F72499">
              <w:rPr>
                <w:rFonts w:ascii="Aptos" w:hAnsi="Aptos"/>
                <w:color w:val="002060"/>
                <w:sz w:val="22"/>
                <w:szCs w:val="22"/>
              </w:rPr>
              <w:t xml:space="preserve">případě CVSP-VO </w:t>
            </w:r>
            <w:r w:rsidRPr="00F72499">
              <w:rPr>
                <w:rFonts w:ascii="Aptos" w:hAnsi="Aptos"/>
                <w:color w:val="002060"/>
                <w:sz w:val="22"/>
                <w:szCs w:val="22"/>
              </w:rPr>
              <w:t>jsou v</w:t>
            </w:r>
            <w:r w:rsidR="00497BDA" w:rsidRPr="00F72499">
              <w:rPr>
                <w:rFonts w:ascii="Aptos" w:hAnsi="Aptos"/>
                <w:color w:val="002060"/>
                <w:sz w:val="22"/>
                <w:szCs w:val="22"/>
              </w:rPr>
              <w:t> </w:t>
            </w:r>
            <w:r w:rsidRPr="00F72499">
              <w:rPr>
                <w:rFonts w:ascii="Aptos" w:hAnsi="Aptos"/>
                <w:color w:val="002060"/>
                <w:sz w:val="22"/>
                <w:szCs w:val="22"/>
              </w:rPr>
              <w:t>odpovídajícím rozsahu zapojena do příslušných evropských referenčních sítí (ERN). Současně je zaveden efektivní mechanismus pro zajištění péče o pacienty s</w:t>
            </w:r>
            <w:r w:rsidR="004D3148" w:rsidRPr="00F72499">
              <w:rPr>
                <w:rFonts w:ascii="Aptos" w:hAnsi="Aptos"/>
                <w:color w:val="002060"/>
                <w:sz w:val="22"/>
                <w:szCs w:val="22"/>
              </w:rPr>
              <w:t> </w:t>
            </w:r>
            <w:r w:rsidRPr="00F72499">
              <w:rPr>
                <w:rFonts w:ascii="Aptos" w:hAnsi="Aptos"/>
                <w:color w:val="002060"/>
                <w:sz w:val="22"/>
                <w:szCs w:val="22"/>
              </w:rPr>
              <w:t xml:space="preserve">nediagnostikovaným </w:t>
            </w:r>
            <w:r w:rsidR="00577EDD" w:rsidRPr="00F72499">
              <w:rPr>
                <w:rFonts w:ascii="Aptos" w:hAnsi="Aptos"/>
                <w:color w:val="002060"/>
                <w:sz w:val="22"/>
                <w:szCs w:val="22"/>
              </w:rPr>
              <w:t>VO</w:t>
            </w:r>
            <w:r w:rsidRPr="00F72499">
              <w:rPr>
                <w:rFonts w:ascii="Aptos" w:hAnsi="Aptos"/>
                <w:color w:val="002060"/>
                <w:sz w:val="22"/>
                <w:szCs w:val="22"/>
              </w:rPr>
              <w:t>, odpovídající potřebám pacientů i</w:t>
            </w:r>
            <w:r w:rsidR="00577EDD" w:rsidRPr="00F72499">
              <w:rPr>
                <w:rFonts w:ascii="Aptos" w:hAnsi="Aptos"/>
                <w:color w:val="002060"/>
                <w:sz w:val="22"/>
                <w:szCs w:val="22"/>
              </w:rPr>
              <w:t> </w:t>
            </w:r>
            <w:r w:rsidRPr="00F72499">
              <w:rPr>
                <w:rFonts w:ascii="Aptos" w:hAnsi="Aptos"/>
                <w:color w:val="002060"/>
                <w:sz w:val="22"/>
                <w:szCs w:val="22"/>
              </w:rPr>
              <w:t>možnostem systému.</w:t>
            </w:r>
          </w:p>
          <w:p w14:paraId="0137A931" w14:textId="0AFF9E7B" w:rsidR="002B1E3A" w:rsidRPr="00F72499" w:rsidRDefault="223F6C2C" w:rsidP="004D3148">
            <w:pPr>
              <w:spacing w:after="0" w:line="252" w:lineRule="auto"/>
              <w:ind w:left="158" w:right="171"/>
              <w:jc w:val="both"/>
              <w:rPr>
                <w:rFonts w:ascii="Aptos" w:hAnsi="Aptos"/>
                <w:color w:val="002060"/>
                <w:sz w:val="22"/>
                <w:szCs w:val="22"/>
              </w:rPr>
            </w:pPr>
            <w:r w:rsidRPr="00F72499">
              <w:rPr>
                <w:rFonts w:ascii="Aptos" w:hAnsi="Aptos"/>
                <w:color w:val="002060"/>
                <w:sz w:val="22"/>
                <w:szCs w:val="22"/>
              </w:rPr>
              <w:t xml:space="preserve">Každé CVSP-VO disponuje multidisciplinárním týmem, jehož složení </w:t>
            </w:r>
            <w:r w:rsidR="52CDA6B5" w:rsidRPr="00F72499">
              <w:rPr>
                <w:rFonts w:ascii="Aptos" w:hAnsi="Aptos"/>
                <w:color w:val="002060"/>
                <w:sz w:val="22"/>
                <w:szCs w:val="22"/>
              </w:rPr>
              <w:br/>
            </w:r>
            <w:r w:rsidRPr="00F72499">
              <w:rPr>
                <w:rFonts w:ascii="Aptos" w:hAnsi="Aptos"/>
                <w:color w:val="002060"/>
                <w:sz w:val="22"/>
                <w:szCs w:val="22"/>
              </w:rPr>
              <w:t>a kapacita jednotlivých rolí v týmu odpovídají operačním kritériím stanoveným pro pracoviště zapojená do ERN a potřebám centra s</w:t>
            </w:r>
            <w:r w:rsidR="004D3148" w:rsidRPr="00F72499">
              <w:rPr>
                <w:rFonts w:ascii="Aptos" w:hAnsi="Aptos"/>
                <w:color w:val="002060"/>
                <w:sz w:val="22"/>
                <w:szCs w:val="22"/>
              </w:rPr>
              <w:t> </w:t>
            </w:r>
            <w:r w:rsidRPr="00F72499">
              <w:rPr>
                <w:rFonts w:ascii="Aptos" w:hAnsi="Aptos"/>
                <w:color w:val="002060"/>
                <w:sz w:val="22"/>
                <w:szCs w:val="22"/>
              </w:rPr>
              <w:t>ohledem na objem poskytované komplexní vysoce specializované péče. Centrum má</w:t>
            </w:r>
            <w:r w:rsidR="16F6B679" w:rsidRPr="00F72499">
              <w:rPr>
                <w:rFonts w:ascii="Aptos" w:hAnsi="Aptos"/>
                <w:color w:val="002060"/>
                <w:sz w:val="22"/>
                <w:szCs w:val="22"/>
              </w:rPr>
              <w:t xml:space="preserve"> </w:t>
            </w:r>
            <w:r w:rsidRPr="00F72499">
              <w:rPr>
                <w:rFonts w:ascii="Aptos" w:hAnsi="Aptos"/>
                <w:color w:val="002060"/>
                <w:sz w:val="22"/>
                <w:szCs w:val="22"/>
              </w:rPr>
              <w:t xml:space="preserve">k dispozici potřebné prostory a vybavení pro poskytování této péče. Zajišťuje i sociální podporu a spolupracuje </w:t>
            </w:r>
            <w:r w:rsidR="52CDA6B5" w:rsidRPr="00F72499">
              <w:rPr>
                <w:rFonts w:ascii="Aptos" w:hAnsi="Aptos"/>
                <w:color w:val="002060"/>
                <w:sz w:val="22"/>
                <w:szCs w:val="22"/>
              </w:rPr>
              <w:br/>
            </w:r>
            <w:r w:rsidRPr="00F72499">
              <w:rPr>
                <w:rFonts w:ascii="Aptos" w:hAnsi="Aptos"/>
                <w:color w:val="002060"/>
                <w:sz w:val="22"/>
                <w:szCs w:val="22"/>
              </w:rPr>
              <w:t>s pacientskými organizacemi.</w:t>
            </w:r>
            <w:r w:rsidR="16F6B679" w:rsidRPr="00F72499">
              <w:rPr>
                <w:rFonts w:ascii="Aptos" w:hAnsi="Aptos"/>
                <w:color w:val="002060"/>
                <w:sz w:val="22"/>
                <w:szCs w:val="22"/>
              </w:rPr>
              <w:t xml:space="preserve"> </w:t>
            </w:r>
            <w:r w:rsidRPr="00F72499">
              <w:rPr>
                <w:rFonts w:ascii="Aptos" w:hAnsi="Aptos"/>
                <w:color w:val="002060"/>
                <w:sz w:val="22"/>
                <w:szCs w:val="22"/>
              </w:rPr>
              <w:t>Struktura péče je standardizovaná napříč zdravotní a sociální oblastí a respektuje specifika jednotlivých onemocnění.</w:t>
            </w:r>
          </w:p>
          <w:p w14:paraId="25151607" w14:textId="4E65F9FC" w:rsidR="00873D37" w:rsidRPr="00F72499" w:rsidRDefault="6B103251" w:rsidP="004D3148">
            <w:pPr>
              <w:spacing w:before="240" w:line="252" w:lineRule="auto"/>
              <w:ind w:left="158" w:right="171"/>
              <w:jc w:val="both"/>
              <w:rPr>
                <w:rFonts w:ascii="Aptos" w:hAnsi="Aptos"/>
                <w:color w:val="002060"/>
                <w:sz w:val="22"/>
                <w:szCs w:val="22"/>
              </w:rPr>
            </w:pPr>
            <w:r w:rsidRPr="00F72499">
              <w:rPr>
                <w:rFonts w:ascii="Aptos" w:hAnsi="Aptos"/>
                <w:color w:val="002060"/>
                <w:sz w:val="22"/>
                <w:szCs w:val="22"/>
              </w:rPr>
              <w:t>Každý pacient je v optimálním případě v péči konkrétního CVSP-VO, případně jiného specializovaného pracoviště, které odpovídá za koordinaci potřebné multidisciplinární péče. Komunikační kanály a</w:t>
            </w:r>
            <w:r w:rsidR="004D3148" w:rsidRPr="00F72499">
              <w:rPr>
                <w:rFonts w:ascii="Aptos" w:hAnsi="Aptos"/>
                <w:color w:val="002060"/>
                <w:sz w:val="22"/>
                <w:szCs w:val="22"/>
              </w:rPr>
              <w:t> </w:t>
            </w:r>
            <w:r w:rsidRPr="00F72499">
              <w:rPr>
                <w:rFonts w:ascii="Aptos" w:hAnsi="Aptos"/>
                <w:color w:val="002060"/>
                <w:sz w:val="22"/>
                <w:szCs w:val="22"/>
              </w:rPr>
              <w:t>sdílení dat jsou jednotné, pacienti mají přístup k moderním léčebným metodám dostupným v ČR, efektivní systém přeshraniční spolupráce umožňuje konzultace s odborníky z jiných zemí. Existuje řešení pro pacienty, kteří nespadají jednoznačně pod žádné centrum, i pro nediagnostikované pacienty.</w:t>
            </w:r>
          </w:p>
        </w:tc>
      </w:tr>
      <w:tr w:rsidR="00873D37" w:rsidRPr="00F72499" w14:paraId="435487DB" w14:textId="77777777" w:rsidTr="135080A3">
        <w:trPr>
          <w:jc w:val="center"/>
        </w:trPr>
        <w:tc>
          <w:tcPr>
            <w:tcW w:w="1701" w:type="dxa"/>
            <w:tcBorders>
              <w:top w:val="single" w:sz="4" w:space="0" w:color="002060"/>
              <w:bottom w:val="single" w:sz="4" w:space="0" w:color="002060"/>
              <w:right w:val="single" w:sz="4" w:space="0" w:color="002060"/>
            </w:tcBorders>
            <w:vAlign w:val="center"/>
          </w:tcPr>
          <w:p w14:paraId="16DF035F"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Opatření</w:t>
            </w:r>
          </w:p>
        </w:tc>
        <w:tc>
          <w:tcPr>
            <w:tcW w:w="7371" w:type="dxa"/>
            <w:tcBorders>
              <w:top w:val="single" w:sz="4" w:space="0" w:color="002060"/>
              <w:left w:val="single" w:sz="4" w:space="0" w:color="002060"/>
              <w:bottom w:val="single" w:sz="4" w:space="0" w:color="002060"/>
            </w:tcBorders>
          </w:tcPr>
          <w:p w14:paraId="7627D1C1" w14:textId="1C53816B" w:rsidR="002D40D5" w:rsidRPr="00F72499" w:rsidRDefault="4FA86195" w:rsidP="00497BDA">
            <w:pPr>
              <w:pStyle w:val="Seznamsodrkami"/>
              <w:spacing w:before="120" w:after="120"/>
              <w:ind w:left="357" w:hanging="357"/>
              <w:rPr>
                <w:rFonts w:ascii="Aptos" w:hAnsi="Aptos"/>
                <w:color w:val="002060"/>
                <w:lang w:val="cs-CZ"/>
              </w:rPr>
            </w:pPr>
            <w:r w:rsidRPr="135080A3">
              <w:rPr>
                <w:rFonts w:ascii="Aptos" w:hAnsi="Aptos"/>
                <w:color w:val="002060"/>
                <w:lang w:val="cs-CZ"/>
              </w:rPr>
              <w:t>Analýza dostupných dat o poskytování péče pacientům s VO (v NZIS a</w:t>
            </w:r>
            <w:r w:rsidR="004D3148" w:rsidRPr="135080A3">
              <w:rPr>
                <w:rFonts w:ascii="Aptos" w:hAnsi="Aptos"/>
                <w:color w:val="002060"/>
                <w:lang w:val="cs-CZ"/>
              </w:rPr>
              <w:t> </w:t>
            </w:r>
            <w:r w:rsidRPr="135080A3">
              <w:rPr>
                <w:rFonts w:ascii="Aptos" w:hAnsi="Aptos"/>
                <w:color w:val="002060"/>
                <w:lang w:val="cs-CZ"/>
              </w:rPr>
              <w:t>Národním registru VO). </w:t>
            </w:r>
          </w:p>
          <w:p w14:paraId="2223444A" w14:textId="77777777" w:rsidR="002D40D5" w:rsidRPr="00F72499" w:rsidRDefault="4FA86195" w:rsidP="1EB33230">
            <w:pPr>
              <w:pStyle w:val="Seznamsodrkami"/>
              <w:rPr>
                <w:rFonts w:ascii="Aptos" w:hAnsi="Aptos"/>
                <w:color w:val="002060"/>
                <w:lang w:val="cs-CZ"/>
              </w:rPr>
            </w:pPr>
            <w:r w:rsidRPr="135080A3">
              <w:rPr>
                <w:rFonts w:ascii="Aptos" w:hAnsi="Aptos"/>
                <w:color w:val="002060"/>
                <w:lang w:val="cs-CZ"/>
              </w:rPr>
              <w:t>Vyhodnocení získaných informací a odpovídající úprava stávajících nebo nastavení nových systémových opatření např. v podobě specifických standardů péče pro jednotlivé skupiny VO. </w:t>
            </w:r>
          </w:p>
          <w:p w14:paraId="150D9FE5" w14:textId="7B73A61A" w:rsidR="002D40D5" w:rsidRPr="00F72499" w:rsidRDefault="4FA86195" w:rsidP="1EB33230">
            <w:pPr>
              <w:pStyle w:val="Seznamsodrkami"/>
              <w:rPr>
                <w:rFonts w:ascii="Aptos" w:hAnsi="Aptos"/>
                <w:color w:val="002060"/>
                <w:lang w:val="cs-CZ"/>
              </w:rPr>
            </w:pPr>
            <w:r w:rsidRPr="135080A3">
              <w:rPr>
                <w:rFonts w:ascii="Aptos" w:hAnsi="Aptos"/>
                <w:color w:val="002060"/>
                <w:lang w:val="cs-CZ"/>
              </w:rPr>
              <w:lastRenderedPageBreak/>
              <w:t>Vytvoření struktury pro zajištění péče o pacienty s</w:t>
            </w:r>
            <w:r w:rsidRPr="135080A3">
              <w:rPr>
                <w:rFonts w:cs="Arial"/>
                <w:color w:val="002060"/>
                <w:lang w:val="cs-CZ"/>
              </w:rPr>
              <w:t> </w:t>
            </w:r>
            <w:r w:rsidRPr="135080A3">
              <w:rPr>
                <w:rFonts w:ascii="Aptos" w:hAnsi="Aptos"/>
                <w:color w:val="002060"/>
                <w:lang w:val="cs-CZ"/>
              </w:rPr>
              <w:t>nediagnostikovan</w:t>
            </w:r>
            <w:r w:rsidRPr="135080A3">
              <w:rPr>
                <w:rFonts w:ascii="Aptos" w:hAnsi="Aptos" w:cs="Aptos"/>
                <w:color w:val="002060"/>
                <w:lang w:val="cs-CZ"/>
              </w:rPr>
              <w:t>ý</w:t>
            </w:r>
            <w:r w:rsidRPr="135080A3">
              <w:rPr>
                <w:rFonts w:ascii="Aptos" w:hAnsi="Aptos"/>
                <w:color w:val="002060"/>
                <w:lang w:val="cs-CZ"/>
              </w:rPr>
              <w:t xml:space="preserve">mi </w:t>
            </w:r>
            <w:r w:rsidR="00577EDD" w:rsidRPr="135080A3">
              <w:rPr>
                <w:rFonts w:ascii="Aptos" w:hAnsi="Aptos"/>
                <w:color w:val="002060"/>
                <w:lang w:val="cs-CZ"/>
              </w:rPr>
              <w:t>VO</w:t>
            </w:r>
            <w:r w:rsidRPr="135080A3">
              <w:rPr>
                <w:rFonts w:ascii="Aptos" w:hAnsi="Aptos"/>
                <w:color w:val="002060"/>
                <w:lang w:val="cs-CZ"/>
              </w:rPr>
              <w:t xml:space="preserve">. </w:t>
            </w:r>
          </w:p>
          <w:p w14:paraId="726ADEED" w14:textId="64546759" w:rsidR="00873D37" w:rsidRPr="00F72499" w:rsidRDefault="00C05BF8" w:rsidP="1EB33230">
            <w:pPr>
              <w:pStyle w:val="Seznamsodrkami"/>
              <w:rPr>
                <w:rFonts w:ascii="Aptos" w:hAnsi="Aptos"/>
                <w:color w:val="002060"/>
                <w:lang w:val="cs-CZ"/>
              </w:rPr>
            </w:pPr>
            <w:r w:rsidRPr="135080A3">
              <w:rPr>
                <w:rFonts w:ascii="Aptos" w:hAnsi="Aptos"/>
                <w:color w:val="002060"/>
                <w:lang w:val="cs-CZ"/>
              </w:rPr>
              <w:t>Zavádění dostupných nových forem poskytování péče do klinické praxe.</w:t>
            </w:r>
          </w:p>
          <w:p w14:paraId="08F7250F" w14:textId="5BC9B6CB" w:rsidR="00873D37" w:rsidRPr="00F72499" w:rsidRDefault="6B103251" w:rsidP="1EB33230">
            <w:pPr>
              <w:pStyle w:val="Seznamsodrkami"/>
              <w:rPr>
                <w:rFonts w:ascii="Aptos" w:hAnsi="Aptos"/>
                <w:color w:val="002060"/>
                <w:lang w:val="cs-CZ"/>
              </w:rPr>
            </w:pPr>
            <w:r w:rsidRPr="135080A3">
              <w:rPr>
                <w:rFonts w:ascii="Aptos" w:hAnsi="Aptos"/>
                <w:color w:val="002060"/>
                <w:lang w:val="cs-CZ"/>
              </w:rPr>
              <w:t>Stanovení indikátorů kvality a efektivity specializované péče v</w:t>
            </w:r>
            <w:r w:rsidR="004D3148" w:rsidRPr="135080A3">
              <w:rPr>
                <w:rFonts w:ascii="Aptos" w:hAnsi="Aptos"/>
                <w:color w:val="002060"/>
                <w:lang w:val="cs-CZ"/>
              </w:rPr>
              <w:t> </w:t>
            </w:r>
            <w:r w:rsidRPr="135080A3">
              <w:rPr>
                <w:rFonts w:ascii="Aptos" w:hAnsi="Aptos"/>
                <w:color w:val="002060"/>
                <w:lang w:val="cs-CZ"/>
              </w:rPr>
              <w:t>centrech pro VO a</w:t>
            </w:r>
            <w:r w:rsidR="00577EDD" w:rsidRPr="135080A3">
              <w:rPr>
                <w:rFonts w:ascii="Aptos" w:hAnsi="Aptos"/>
                <w:color w:val="002060"/>
                <w:lang w:val="cs-CZ"/>
              </w:rPr>
              <w:t> </w:t>
            </w:r>
            <w:r w:rsidRPr="135080A3">
              <w:rPr>
                <w:rFonts w:ascii="Aptos" w:hAnsi="Aptos"/>
                <w:color w:val="002060"/>
                <w:lang w:val="cs-CZ"/>
              </w:rPr>
              <w:t>na specializovaných pracovištích.</w:t>
            </w:r>
          </w:p>
          <w:p w14:paraId="0C5566C7" w14:textId="319FCC13" w:rsidR="00873D37" w:rsidRPr="00F72499" w:rsidRDefault="00C05BF8" w:rsidP="00497BDA">
            <w:pPr>
              <w:pStyle w:val="Seznamsodrkami"/>
              <w:spacing w:after="120"/>
              <w:ind w:left="357" w:hanging="357"/>
              <w:rPr>
                <w:rFonts w:ascii="Aptos" w:hAnsi="Aptos"/>
                <w:color w:val="002060"/>
                <w:sz w:val="21"/>
                <w:szCs w:val="21"/>
                <w:lang w:val="cs-CZ"/>
              </w:rPr>
            </w:pPr>
            <w:r w:rsidRPr="135080A3">
              <w:rPr>
                <w:rFonts w:ascii="Aptos" w:hAnsi="Aptos"/>
                <w:color w:val="002060"/>
                <w:lang w:val="cs-CZ"/>
              </w:rPr>
              <w:t>Vytvoření standardů přechodové péče a provázání jejich nároků s</w:t>
            </w:r>
            <w:r w:rsidR="004D3148" w:rsidRPr="135080A3">
              <w:rPr>
                <w:rFonts w:ascii="Aptos" w:hAnsi="Aptos"/>
                <w:color w:val="002060"/>
                <w:lang w:val="cs-CZ"/>
              </w:rPr>
              <w:t> </w:t>
            </w:r>
            <w:r w:rsidRPr="135080A3">
              <w:rPr>
                <w:rFonts w:ascii="Aptos" w:hAnsi="Aptos"/>
                <w:color w:val="002060"/>
                <w:lang w:val="cs-CZ"/>
              </w:rPr>
              <w:t>úhradovými mechanismy.</w:t>
            </w:r>
          </w:p>
        </w:tc>
      </w:tr>
      <w:tr w:rsidR="00873D37" w:rsidRPr="00F72499" w14:paraId="353F3635" w14:textId="77777777" w:rsidTr="135080A3">
        <w:trPr>
          <w:trHeight w:val="397"/>
          <w:jc w:val="center"/>
        </w:trPr>
        <w:tc>
          <w:tcPr>
            <w:tcW w:w="1701" w:type="dxa"/>
            <w:tcBorders>
              <w:top w:val="single" w:sz="4" w:space="0" w:color="002060"/>
              <w:bottom w:val="single" w:sz="4" w:space="0" w:color="002060"/>
              <w:right w:val="single" w:sz="4" w:space="0" w:color="002060"/>
            </w:tcBorders>
            <w:vAlign w:val="center"/>
          </w:tcPr>
          <w:p w14:paraId="1CECB2CE"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lastRenderedPageBreak/>
              <w:t>Garant</w:t>
            </w:r>
          </w:p>
        </w:tc>
        <w:tc>
          <w:tcPr>
            <w:tcW w:w="7371" w:type="dxa"/>
            <w:tcBorders>
              <w:top w:val="single" w:sz="4" w:space="0" w:color="002060"/>
              <w:left w:val="single" w:sz="4" w:space="0" w:color="002060"/>
              <w:bottom w:val="single" w:sz="4" w:space="0" w:color="002060"/>
            </w:tcBorders>
            <w:vAlign w:val="center"/>
          </w:tcPr>
          <w:p w14:paraId="3F943EEF" w14:textId="4274DF18" w:rsidR="00873D37" w:rsidRPr="00F72499" w:rsidRDefault="00C05BF8" w:rsidP="00497BDA">
            <w:pPr>
              <w:spacing w:after="0" w:line="252" w:lineRule="auto"/>
              <w:ind w:left="173"/>
              <w:rPr>
                <w:rFonts w:ascii="Aptos" w:hAnsi="Aptos"/>
                <w:color w:val="002060"/>
                <w:sz w:val="22"/>
                <w:szCs w:val="22"/>
              </w:rPr>
            </w:pPr>
            <w:r w:rsidRPr="00F72499">
              <w:rPr>
                <w:rFonts w:ascii="Aptos" w:hAnsi="Aptos"/>
                <w:color w:val="002060"/>
                <w:sz w:val="22"/>
                <w:szCs w:val="22"/>
              </w:rPr>
              <w:t xml:space="preserve">MZD Odbor zdravotní péče </w:t>
            </w:r>
            <w:r w:rsidR="00497BDA" w:rsidRPr="00F72499">
              <w:rPr>
                <w:rFonts w:ascii="Aptos" w:hAnsi="Aptos"/>
                <w:color w:val="002060"/>
                <w:sz w:val="22"/>
                <w:szCs w:val="22"/>
              </w:rPr>
              <w:t>a</w:t>
            </w:r>
            <w:r w:rsidRPr="00F72499">
              <w:rPr>
                <w:rFonts w:ascii="Aptos" w:hAnsi="Aptos"/>
                <w:color w:val="002060"/>
                <w:sz w:val="22"/>
                <w:szCs w:val="22"/>
              </w:rPr>
              <w:t xml:space="preserve"> věcně příslušnými útvary MZD</w:t>
            </w:r>
          </w:p>
        </w:tc>
      </w:tr>
      <w:tr w:rsidR="00873D37" w:rsidRPr="00F72499" w14:paraId="469B2DED" w14:textId="77777777" w:rsidTr="135080A3">
        <w:trPr>
          <w:jc w:val="center"/>
        </w:trPr>
        <w:tc>
          <w:tcPr>
            <w:tcW w:w="1701" w:type="dxa"/>
            <w:tcBorders>
              <w:top w:val="single" w:sz="4" w:space="0" w:color="002060"/>
              <w:bottom w:val="single" w:sz="4" w:space="0" w:color="002060"/>
              <w:right w:val="single" w:sz="4" w:space="0" w:color="002060"/>
            </w:tcBorders>
            <w:vAlign w:val="center"/>
          </w:tcPr>
          <w:p w14:paraId="550F71DC"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Spolupracující subjekty a instituce</w:t>
            </w:r>
          </w:p>
        </w:tc>
        <w:tc>
          <w:tcPr>
            <w:tcW w:w="7371" w:type="dxa"/>
            <w:tcBorders>
              <w:top w:val="single" w:sz="4" w:space="0" w:color="002060"/>
              <w:left w:val="single" w:sz="4" w:space="0" w:color="002060"/>
              <w:bottom w:val="single" w:sz="4" w:space="0" w:color="002060"/>
            </w:tcBorders>
          </w:tcPr>
          <w:p w14:paraId="4C8FE042" w14:textId="0639C226" w:rsidR="00873D37" w:rsidRPr="00F72499" w:rsidRDefault="4FA86195" w:rsidP="00497BDA">
            <w:pPr>
              <w:spacing w:before="120" w:line="252" w:lineRule="auto"/>
              <w:ind w:left="170" w:right="170"/>
              <w:jc w:val="both"/>
              <w:rPr>
                <w:rFonts w:ascii="Aptos" w:hAnsi="Aptos"/>
                <w:color w:val="002060"/>
                <w:sz w:val="22"/>
                <w:szCs w:val="22"/>
              </w:rPr>
            </w:pPr>
            <w:r w:rsidRPr="00F72499">
              <w:rPr>
                <w:rFonts w:ascii="Aptos" w:hAnsi="Aptos"/>
                <w:color w:val="002060"/>
                <w:sz w:val="22"/>
                <w:szCs w:val="22"/>
              </w:rPr>
              <w:t>Zdravotní pojišťovny; Poskytovatelé zdravotních služeb; Česká lékařská společnost Jana Evangelisty Purkyně; MZD Odbor regulace cen a úhrad; MZD Oddělení zdravotních výkonů a dotací; Ústav zdravotnických informací a statistiky ČR; Národní institut kvality a</w:t>
            </w:r>
            <w:r w:rsidR="00497BDA" w:rsidRPr="00F72499">
              <w:rPr>
                <w:rFonts w:ascii="Aptos" w:hAnsi="Aptos"/>
                <w:color w:val="002060"/>
                <w:sz w:val="22"/>
                <w:szCs w:val="22"/>
              </w:rPr>
              <w:t> </w:t>
            </w:r>
            <w:r w:rsidRPr="00F72499">
              <w:rPr>
                <w:rFonts w:ascii="Aptos" w:hAnsi="Aptos"/>
                <w:color w:val="002060"/>
                <w:sz w:val="22"/>
                <w:szCs w:val="22"/>
              </w:rPr>
              <w:t>excelence zdravotnictví; Pacientské organizace; Kraje; Ministerstvo práce a</w:t>
            </w:r>
            <w:r w:rsidR="00497BDA" w:rsidRPr="00F72499">
              <w:rPr>
                <w:rFonts w:ascii="Aptos" w:hAnsi="Aptos"/>
                <w:color w:val="002060"/>
                <w:sz w:val="22"/>
                <w:szCs w:val="22"/>
              </w:rPr>
              <w:t> </w:t>
            </w:r>
            <w:r w:rsidRPr="00F72499">
              <w:rPr>
                <w:rFonts w:ascii="Aptos" w:hAnsi="Aptos"/>
                <w:color w:val="002060"/>
                <w:sz w:val="22"/>
                <w:szCs w:val="22"/>
              </w:rPr>
              <w:t>sociálních věcí ČR.</w:t>
            </w:r>
          </w:p>
        </w:tc>
      </w:tr>
    </w:tbl>
    <w:p w14:paraId="4A3DB0CB" w14:textId="77777777" w:rsidR="00873D37" w:rsidRPr="00F72499" w:rsidRDefault="00873D37" w:rsidP="1EB33230">
      <w:pPr>
        <w:rPr>
          <w:rFonts w:ascii="Aptos" w:hAnsi="Aptos"/>
          <w:color w:val="002060"/>
          <w:sz w:val="22"/>
          <w:szCs w:val="22"/>
        </w:rPr>
      </w:pPr>
    </w:p>
    <w:p w14:paraId="0452D295" w14:textId="77777777" w:rsidR="002B1E3A" w:rsidRPr="00F72499" w:rsidRDefault="002B1E3A" w:rsidP="1EB33230">
      <w:pPr>
        <w:rPr>
          <w:rFonts w:ascii="Aptos" w:hAnsi="Aptos"/>
          <w:color w:val="002060"/>
          <w:sz w:val="22"/>
          <w:szCs w:val="22"/>
        </w:rPr>
      </w:pPr>
    </w:p>
    <w:p w14:paraId="6414E0AA" w14:textId="77777777" w:rsidR="002B1E3A" w:rsidRPr="00F72499" w:rsidRDefault="002B1E3A" w:rsidP="1EB33230">
      <w:pPr>
        <w:rPr>
          <w:rFonts w:ascii="Aptos" w:hAnsi="Aptos"/>
          <w:color w:val="002060"/>
          <w:sz w:val="22"/>
          <w:szCs w:val="22"/>
        </w:rPr>
      </w:pPr>
    </w:p>
    <w:p w14:paraId="1DEC803F" w14:textId="77777777" w:rsidR="00F11341" w:rsidRPr="00F72499" w:rsidRDefault="00F11341" w:rsidP="1EB33230">
      <w:pPr>
        <w:rPr>
          <w:rFonts w:ascii="Aptos" w:hAnsi="Aptos"/>
          <w:color w:val="002060"/>
          <w:sz w:val="22"/>
          <w:szCs w:val="22"/>
        </w:rPr>
      </w:pPr>
    </w:p>
    <w:p w14:paraId="54BCB4CF" w14:textId="77777777" w:rsidR="00F11341" w:rsidRPr="00F72499" w:rsidRDefault="00F11341" w:rsidP="1EB33230">
      <w:pPr>
        <w:rPr>
          <w:rFonts w:ascii="Aptos" w:hAnsi="Aptos"/>
          <w:color w:val="002060"/>
          <w:sz w:val="22"/>
          <w:szCs w:val="22"/>
        </w:rPr>
      </w:pPr>
    </w:p>
    <w:p w14:paraId="24BDAA6F" w14:textId="77777777" w:rsidR="00F11341" w:rsidRPr="00F72499" w:rsidRDefault="00F11341" w:rsidP="1EB33230">
      <w:pPr>
        <w:rPr>
          <w:rFonts w:ascii="Aptos" w:hAnsi="Aptos"/>
          <w:color w:val="002060"/>
          <w:sz w:val="22"/>
          <w:szCs w:val="22"/>
        </w:rPr>
      </w:pPr>
    </w:p>
    <w:p w14:paraId="05DDB9A3" w14:textId="77777777" w:rsidR="00F11341" w:rsidRPr="00F72499" w:rsidRDefault="00F11341" w:rsidP="1EB33230">
      <w:pPr>
        <w:rPr>
          <w:rFonts w:ascii="Aptos" w:hAnsi="Aptos"/>
          <w:color w:val="002060"/>
          <w:sz w:val="22"/>
          <w:szCs w:val="22"/>
        </w:rPr>
      </w:pPr>
    </w:p>
    <w:p w14:paraId="5084BCA6" w14:textId="77777777" w:rsidR="00F11341" w:rsidRPr="00F72499" w:rsidRDefault="00F11341" w:rsidP="1EB33230">
      <w:pPr>
        <w:rPr>
          <w:rFonts w:ascii="Aptos" w:hAnsi="Aptos"/>
          <w:color w:val="002060"/>
          <w:sz w:val="22"/>
          <w:szCs w:val="22"/>
        </w:rPr>
      </w:pPr>
    </w:p>
    <w:p w14:paraId="3BB43177" w14:textId="752AF0CA" w:rsidR="00873D37" w:rsidRPr="00F72499" w:rsidRDefault="00C05BF8" w:rsidP="00497BDA">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13" w:name="_Toc231330684"/>
      <w:proofErr w:type="gramStart"/>
      <w:r w:rsidRPr="00F72499">
        <w:rPr>
          <w:rFonts w:ascii="Aptos" w:hAnsi="Aptos"/>
          <w:b w:val="0"/>
          <w:bCs w:val="0"/>
          <w:color w:val="002060"/>
          <w:kern w:val="2"/>
          <w:sz w:val="32"/>
          <w:szCs w:val="32"/>
          <w:lang w:val="cs-CZ"/>
          <w14:ligatures w14:val="standardContextual"/>
        </w:rPr>
        <w:t xml:space="preserve">5.2 </w:t>
      </w:r>
      <w:r w:rsidR="00497BDA" w:rsidRPr="00F72499">
        <w:rPr>
          <w:rFonts w:ascii="Aptos" w:hAnsi="Aptos"/>
          <w:b w:val="0"/>
          <w:bCs w:val="0"/>
          <w:color w:val="002060"/>
          <w:kern w:val="2"/>
          <w:sz w:val="32"/>
          <w:szCs w:val="32"/>
          <w:lang w:val="cs-CZ"/>
          <w14:ligatures w14:val="standardContextual"/>
        </w:rPr>
        <w:t xml:space="preserve"> </w:t>
      </w:r>
      <w:r w:rsidRPr="00F72499">
        <w:rPr>
          <w:rFonts w:ascii="Aptos" w:hAnsi="Aptos"/>
          <w:b w:val="0"/>
          <w:bCs w:val="0"/>
          <w:color w:val="002060"/>
          <w:kern w:val="2"/>
          <w:sz w:val="32"/>
          <w:szCs w:val="32"/>
          <w:lang w:val="cs-CZ"/>
          <w14:ligatures w14:val="standardContextual"/>
        </w:rPr>
        <w:t>Implementace</w:t>
      </w:r>
      <w:proofErr w:type="gramEnd"/>
      <w:r w:rsidRPr="00F72499">
        <w:rPr>
          <w:rFonts w:ascii="Aptos" w:hAnsi="Aptos"/>
          <w:b w:val="0"/>
          <w:bCs w:val="0"/>
          <w:color w:val="002060"/>
          <w:kern w:val="2"/>
          <w:sz w:val="32"/>
          <w:szCs w:val="32"/>
          <w:lang w:val="cs-CZ"/>
          <w14:ligatures w14:val="standardContextual"/>
        </w:rPr>
        <w:t xml:space="preserve"> specifického cíle 2.2: Rozvoj zdravotní péče prostřednictvím implementace moderních postupů </w:t>
      </w:r>
      <w:r w:rsidR="00497BDA" w:rsidRPr="00F72499">
        <w:rPr>
          <w:rFonts w:ascii="Aptos" w:hAnsi="Aptos"/>
          <w:b w:val="0"/>
          <w:bCs w:val="0"/>
          <w:color w:val="002060"/>
          <w:kern w:val="2"/>
          <w:sz w:val="32"/>
          <w:szCs w:val="32"/>
          <w:lang w:val="cs-CZ"/>
          <w14:ligatures w14:val="standardContextual"/>
        </w:rPr>
        <w:br/>
      </w:r>
      <w:r w:rsidRPr="00F72499">
        <w:rPr>
          <w:rFonts w:ascii="Aptos" w:hAnsi="Aptos"/>
          <w:b w:val="0"/>
          <w:bCs w:val="0"/>
          <w:color w:val="002060"/>
          <w:kern w:val="2"/>
          <w:sz w:val="32"/>
          <w:szCs w:val="32"/>
          <w:lang w:val="cs-CZ"/>
          <w14:ligatures w14:val="standardContextual"/>
        </w:rPr>
        <w:t>a technologií</w:t>
      </w:r>
      <w:bookmarkEnd w:id="13"/>
    </w:p>
    <w:p w14:paraId="1528D9B8" w14:textId="7C2C509D" w:rsidR="00DD42E6" w:rsidRPr="00F72499" w:rsidRDefault="00C05BF8" w:rsidP="00497BDA">
      <w:pPr>
        <w:jc w:val="both"/>
        <w:rPr>
          <w:rFonts w:ascii="Aptos" w:hAnsi="Aptos"/>
          <w:color w:val="002060"/>
          <w:sz w:val="22"/>
          <w:szCs w:val="22"/>
        </w:rPr>
      </w:pPr>
      <w:r w:rsidRPr="00F72499">
        <w:rPr>
          <w:rFonts w:ascii="Aptos" w:hAnsi="Aptos"/>
          <w:color w:val="002060"/>
          <w:sz w:val="22"/>
          <w:szCs w:val="22"/>
        </w:rPr>
        <w:t>Specifický cíl 2.2 je zaměřen na rozvoj zdravotní péče prostřednictvím moderních diagnostických, léčebných, monitorovacích a komunikačních technologií. Důraz je kladen na dostupnost technologií v CVSP-VO, využívání CPMS a mezinárodních odborných konzultací, telemedicínu a</w:t>
      </w:r>
      <w:r w:rsidR="00497BDA" w:rsidRPr="00F72499">
        <w:rPr>
          <w:rFonts w:ascii="Aptos" w:hAnsi="Aptos"/>
          <w:color w:val="002060"/>
          <w:sz w:val="22"/>
          <w:szCs w:val="22"/>
        </w:rPr>
        <w:t> </w:t>
      </w:r>
      <w:r w:rsidRPr="00F72499">
        <w:rPr>
          <w:rFonts w:ascii="Aptos" w:hAnsi="Aptos"/>
          <w:color w:val="002060"/>
          <w:sz w:val="22"/>
          <w:szCs w:val="22"/>
        </w:rPr>
        <w:t>distanční péči, systematické hodnocení výsledků léčby a funkční předávání relevantních výstupů Poradního orgánu pro ORPHAN léčiva odborníkům zapojeným do péče.</w:t>
      </w:r>
    </w:p>
    <w:tbl>
      <w:tblPr>
        <w:tblStyle w:val="Mkatabul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366"/>
      </w:tblGrid>
      <w:tr w:rsidR="00873D37" w:rsidRPr="00F72499" w14:paraId="47CC3C61" w14:textId="77777777" w:rsidTr="135080A3">
        <w:trPr>
          <w:tblHeader/>
          <w:jc w:val="center"/>
        </w:trPr>
        <w:tc>
          <w:tcPr>
            <w:tcW w:w="9062" w:type="dxa"/>
            <w:gridSpan w:val="2"/>
            <w:tcBorders>
              <w:top w:val="single" w:sz="4" w:space="0" w:color="002060"/>
              <w:bottom w:val="single" w:sz="4" w:space="0" w:color="002060"/>
            </w:tcBorders>
            <w:shd w:val="clear" w:color="auto" w:fill="E6F6F1"/>
          </w:tcPr>
          <w:p w14:paraId="79AB9DA8" w14:textId="77777777" w:rsidR="00873D37" w:rsidRPr="00F72499" w:rsidRDefault="00C05BF8" w:rsidP="1EB33230">
            <w:pPr>
              <w:spacing w:after="0" w:line="252" w:lineRule="auto"/>
              <w:jc w:val="center"/>
              <w:rPr>
                <w:rFonts w:ascii="Aptos" w:hAnsi="Aptos"/>
                <w:color w:val="002060"/>
                <w:sz w:val="22"/>
                <w:szCs w:val="22"/>
              </w:rPr>
            </w:pPr>
            <w:r w:rsidRPr="00F72499">
              <w:rPr>
                <w:rFonts w:ascii="Aptos" w:hAnsi="Aptos"/>
                <w:b/>
                <w:bCs/>
                <w:color w:val="002060"/>
                <w:sz w:val="28"/>
                <w:szCs w:val="28"/>
              </w:rPr>
              <w:t>Rozvoj zdravotní péče prostřednictvím implementace moderních postupů a technologií</w:t>
            </w:r>
          </w:p>
        </w:tc>
      </w:tr>
      <w:tr w:rsidR="00873D37" w:rsidRPr="00F72499" w14:paraId="47B5454A" w14:textId="77777777" w:rsidTr="135080A3">
        <w:trPr>
          <w:jc w:val="center"/>
        </w:trPr>
        <w:tc>
          <w:tcPr>
            <w:tcW w:w="1696" w:type="dxa"/>
            <w:tcBorders>
              <w:top w:val="single" w:sz="4" w:space="0" w:color="002060"/>
              <w:bottom w:val="single" w:sz="4" w:space="0" w:color="002060"/>
              <w:right w:val="single" w:sz="4" w:space="0" w:color="002060"/>
            </w:tcBorders>
            <w:vAlign w:val="center"/>
          </w:tcPr>
          <w:p w14:paraId="013522F1" w14:textId="0F29A0B2"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 xml:space="preserve">Příspěvek </w:t>
            </w:r>
            <w:r w:rsidRPr="00F72499">
              <w:br/>
            </w:r>
            <w:r w:rsidRPr="00F72499">
              <w:rPr>
                <w:rFonts w:ascii="Aptos" w:hAnsi="Aptos"/>
                <w:b/>
                <w:bCs/>
                <w:color w:val="002060"/>
                <w:sz w:val="22"/>
                <w:szCs w:val="22"/>
              </w:rPr>
              <w:t>k naplnění strategického cíle</w:t>
            </w:r>
          </w:p>
        </w:tc>
        <w:tc>
          <w:tcPr>
            <w:tcW w:w="7366" w:type="dxa"/>
            <w:tcBorders>
              <w:top w:val="single" w:sz="4" w:space="0" w:color="002060"/>
              <w:left w:val="single" w:sz="4" w:space="0" w:color="002060"/>
              <w:bottom w:val="single" w:sz="4" w:space="0" w:color="002060"/>
            </w:tcBorders>
          </w:tcPr>
          <w:p w14:paraId="6E8A38E3" w14:textId="3E465114" w:rsidR="00873D37" w:rsidRPr="00F72499" w:rsidRDefault="00C05BF8" w:rsidP="00BD533A">
            <w:pPr>
              <w:spacing w:before="120" w:line="252" w:lineRule="auto"/>
              <w:ind w:left="176" w:right="170"/>
              <w:jc w:val="both"/>
              <w:rPr>
                <w:rFonts w:ascii="Aptos" w:hAnsi="Aptos"/>
                <w:color w:val="002060"/>
                <w:sz w:val="21"/>
                <w:szCs w:val="21"/>
              </w:rPr>
            </w:pPr>
            <w:r w:rsidRPr="00F72499">
              <w:rPr>
                <w:rFonts w:ascii="Aptos" w:hAnsi="Aptos"/>
                <w:color w:val="002060"/>
                <w:sz w:val="22"/>
                <w:szCs w:val="22"/>
              </w:rPr>
              <w:t xml:space="preserve">Specifický cíl 2.2 podporuje efektivitu, kvalitu a udržitelnost péče tím, že umožňuje využívat moderní postupy a technologie odpovídající potřebám jednotlivých skupin VO. Zlepšuje dostupnost expertízy, </w:t>
            </w:r>
            <w:r w:rsidRPr="00F72499">
              <w:rPr>
                <w:rFonts w:ascii="Aptos" w:hAnsi="Aptos"/>
                <w:color w:val="002060"/>
                <w:sz w:val="22"/>
                <w:szCs w:val="22"/>
              </w:rPr>
              <w:lastRenderedPageBreak/>
              <w:t>podporuje sdílení informací, snižuje duplicity a umožňuje průběžné vyhodnocování výsledků péče.</w:t>
            </w:r>
          </w:p>
        </w:tc>
      </w:tr>
      <w:tr w:rsidR="00873D37" w:rsidRPr="00F72499" w14:paraId="11AF00BC" w14:textId="77777777" w:rsidTr="135080A3">
        <w:trPr>
          <w:jc w:val="center"/>
        </w:trPr>
        <w:tc>
          <w:tcPr>
            <w:tcW w:w="1696" w:type="dxa"/>
            <w:tcBorders>
              <w:top w:val="single" w:sz="4" w:space="0" w:color="002060"/>
              <w:bottom w:val="single" w:sz="4" w:space="0" w:color="002060"/>
              <w:right w:val="single" w:sz="4" w:space="0" w:color="002060"/>
            </w:tcBorders>
            <w:vAlign w:val="center"/>
          </w:tcPr>
          <w:p w14:paraId="103011C2"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lastRenderedPageBreak/>
              <w:t>Popis žádoucího stavu</w:t>
            </w:r>
          </w:p>
        </w:tc>
        <w:tc>
          <w:tcPr>
            <w:tcW w:w="7366" w:type="dxa"/>
            <w:tcBorders>
              <w:top w:val="single" w:sz="4" w:space="0" w:color="002060"/>
              <w:left w:val="single" w:sz="4" w:space="0" w:color="002060"/>
              <w:bottom w:val="single" w:sz="4" w:space="0" w:color="002060"/>
            </w:tcBorders>
          </w:tcPr>
          <w:p w14:paraId="40CAF522" w14:textId="0BB2D5A8" w:rsidR="002B1E3A" w:rsidRPr="00F72499" w:rsidRDefault="223F6C2C" w:rsidP="00BD533A">
            <w:pPr>
              <w:spacing w:before="120" w:after="0" w:line="252" w:lineRule="auto"/>
              <w:ind w:left="176" w:right="170"/>
              <w:jc w:val="both"/>
              <w:rPr>
                <w:rFonts w:ascii="Aptos" w:hAnsi="Aptos"/>
                <w:color w:val="002060"/>
                <w:sz w:val="22"/>
                <w:szCs w:val="22"/>
              </w:rPr>
            </w:pPr>
            <w:r w:rsidRPr="00F72499">
              <w:rPr>
                <w:rFonts w:ascii="Aptos" w:hAnsi="Aptos"/>
                <w:color w:val="002060"/>
                <w:sz w:val="22"/>
                <w:szCs w:val="22"/>
              </w:rPr>
              <w:t>Systém CPMS nebo jeho národní obdoba je běžně využíván jako platforma pro rychlé, kvalitní a multidisciplinární konzultace mezi centry v ČR i napříč Evropou.</w:t>
            </w:r>
          </w:p>
          <w:p w14:paraId="379397FF" w14:textId="77777777" w:rsidR="002B1E3A" w:rsidRPr="00F72499" w:rsidRDefault="002B1E3A" w:rsidP="00BD533A">
            <w:pPr>
              <w:spacing w:after="0" w:line="252" w:lineRule="auto"/>
              <w:ind w:left="173" w:right="171"/>
              <w:jc w:val="both"/>
              <w:rPr>
                <w:rFonts w:ascii="Aptos" w:hAnsi="Aptos"/>
                <w:color w:val="002060"/>
                <w:sz w:val="22"/>
                <w:szCs w:val="22"/>
              </w:rPr>
            </w:pPr>
          </w:p>
          <w:p w14:paraId="25F27156" w14:textId="52605642" w:rsidR="002B1E3A" w:rsidRPr="00F72499" w:rsidRDefault="223F6C2C" w:rsidP="00BD533A">
            <w:pPr>
              <w:spacing w:line="252" w:lineRule="auto"/>
              <w:ind w:left="173" w:right="171"/>
              <w:jc w:val="both"/>
              <w:rPr>
                <w:rFonts w:ascii="Aptos" w:hAnsi="Aptos"/>
                <w:color w:val="002060"/>
                <w:sz w:val="22"/>
                <w:szCs w:val="22"/>
              </w:rPr>
            </w:pPr>
            <w:r w:rsidRPr="00F72499">
              <w:rPr>
                <w:rFonts w:ascii="Aptos" w:hAnsi="Aptos"/>
                <w:color w:val="002060"/>
                <w:sz w:val="22"/>
                <w:szCs w:val="22"/>
              </w:rPr>
              <w:t xml:space="preserve">Telemedicína jako zdravotní služba poskytovaná na dálku a distanční zdravotní i sociální péče jsou běžně dostupné a vzájemně se doplňující formy podpory, které zkracují dobu diagnostiky, snižují administrativní zátěž a zvyšují komfort pacienta. </w:t>
            </w:r>
          </w:p>
          <w:p w14:paraId="1F260C35" w14:textId="28B2A624" w:rsidR="00873D37" w:rsidRPr="00F72499" w:rsidRDefault="223F6C2C" w:rsidP="00BD533A">
            <w:pPr>
              <w:spacing w:before="120" w:line="252" w:lineRule="auto"/>
              <w:ind w:left="176" w:right="170"/>
              <w:jc w:val="both"/>
              <w:rPr>
                <w:rFonts w:ascii="Aptos" w:hAnsi="Aptos"/>
                <w:color w:val="002060"/>
                <w:sz w:val="21"/>
                <w:szCs w:val="21"/>
              </w:rPr>
            </w:pPr>
            <w:r w:rsidRPr="00F72499">
              <w:rPr>
                <w:rFonts w:ascii="Aptos" w:hAnsi="Aptos"/>
                <w:color w:val="002060"/>
                <w:sz w:val="22"/>
                <w:szCs w:val="22"/>
              </w:rPr>
              <w:t>Získaná data slouží k průběžnému monitorování kvality a efektivity péče, strategickému plánování i podpoře výzkumu. Moderní postupy včetně inovací jsou využívány v souladu s odbornými doporučeními a</w:t>
            </w:r>
            <w:r w:rsidR="00BD533A" w:rsidRPr="00F72499">
              <w:rPr>
                <w:rFonts w:ascii="Aptos" w:hAnsi="Aptos"/>
                <w:color w:val="002060"/>
                <w:sz w:val="22"/>
                <w:szCs w:val="22"/>
              </w:rPr>
              <w:t> </w:t>
            </w:r>
            <w:r w:rsidRPr="00F72499">
              <w:rPr>
                <w:rFonts w:ascii="Aptos" w:hAnsi="Aptos"/>
                <w:color w:val="002060"/>
                <w:sz w:val="22"/>
                <w:szCs w:val="22"/>
              </w:rPr>
              <w:t>možnostmi systému, s důrazem na bezpečnost a efektivitu.</w:t>
            </w:r>
          </w:p>
        </w:tc>
      </w:tr>
      <w:tr w:rsidR="00873D37" w:rsidRPr="00F72499" w14:paraId="138BFFDE" w14:textId="77777777" w:rsidTr="135080A3">
        <w:trPr>
          <w:jc w:val="center"/>
        </w:trPr>
        <w:tc>
          <w:tcPr>
            <w:tcW w:w="1696" w:type="dxa"/>
            <w:tcBorders>
              <w:top w:val="single" w:sz="4" w:space="0" w:color="002060"/>
              <w:bottom w:val="single" w:sz="4" w:space="0" w:color="002060"/>
              <w:right w:val="single" w:sz="4" w:space="0" w:color="002060"/>
            </w:tcBorders>
            <w:vAlign w:val="center"/>
          </w:tcPr>
          <w:p w14:paraId="01BBD79C"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Opatření</w:t>
            </w:r>
          </w:p>
        </w:tc>
        <w:tc>
          <w:tcPr>
            <w:tcW w:w="7366" w:type="dxa"/>
            <w:tcBorders>
              <w:top w:val="single" w:sz="4" w:space="0" w:color="002060"/>
              <w:left w:val="single" w:sz="4" w:space="0" w:color="002060"/>
              <w:bottom w:val="single" w:sz="4" w:space="0" w:color="002060"/>
            </w:tcBorders>
          </w:tcPr>
          <w:p w14:paraId="1E4B2EB3" w14:textId="77777777" w:rsidR="00873D37" w:rsidRPr="00F72499" w:rsidRDefault="00C05BF8" w:rsidP="00BD533A">
            <w:pPr>
              <w:pStyle w:val="Seznamsodrkami"/>
              <w:tabs>
                <w:tab w:val="clear" w:pos="360"/>
                <w:tab w:val="num" w:pos="456"/>
              </w:tabs>
              <w:spacing w:before="120"/>
              <w:ind w:left="357" w:right="171" w:hanging="184"/>
              <w:jc w:val="both"/>
              <w:rPr>
                <w:rFonts w:ascii="Aptos" w:hAnsi="Aptos"/>
                <w:color w:val="002060"/>
                <w:lang w:val="cs-CZ"/>
              </w:rPr>
            </w:pPr>
            <w:r w:rsidRPr="135080A3">
              <w:rPr>
                <w:rFonts w:ascii="Aptos" w:hAnsi="Aptos"/>
                <w:color w:val="002060"/>
                <w:lang w:val="cs-CZ"/>
              </w:rPr>
              <w:t>CVSP-VO jsou vybavena moderními technologiemi pro diagnostiku, léčbu, monitoraci a management péče o pacienty s VO.</w:t>
            </w:r>
          </w:p>
          <w:p w14:paraId="61BB83CC" w14:textId="77777777" w:rsidR="002B1E3A" w:rsidRPr="00F72499" w:rsidRDefault="00C05BF8" w:rsidP="00BD533A">
            <w:pPr>
              <w:pStyle w:val="Seznamsodrkami"/>
              <w:tabs>
                <w:tab w:val="clear" w:pos="360"/>
                <w:tab w:val="num" w:pos="456"/>
              </w:tabs>
              <w:ind w:right="171" w:hanging="184"/>
              <w:jc w:val="both"/>
              <w:rPr>
                <w:rFonts w:ascii="Aptos" w:hAnsi="Aptos"/>
                <w:color w:val="002060"/>
                <w:lang w:val="cs-CZ"/>
              </w:rPr>
            </w:pPr>
            <w:r w:rsidRPr="135080A3">
              <w:rPr>
                <w:rFonts w:ascii="Aptos" w:hAnsi="Aptos"/>
                <w:color w:val="002060"/>
                <w:lang w:val="cs-CZ"/>
              </w:rPr>
              <w:t>Rozvoj mezinárodní odborné spolupráce prostřednictvím systému CPMS.</w:t>
            </w:r>
          </w:p>
          <w:p w14:paraId="15AF581E" w14:textId="23331890" w:rsidR="002B1E3A" w:rsidRPr="00F72499" w:rsidRDefault="223F6C2C" w:rsidP="00BD533A">
            <w:pPr>
              <w:pStyle w:val="Seznamsodrkami"/>
              <w:tabs>
                <w:tab w:val="clear" w:pos="360"/>
                <w:tab w:val="num" w:pos="456"/>
              </w:tabs>
              <w:ind w:right="171" w:hanging="184"/>
              <w:jc w:val="both"/>
              <w:rPr>
                <w:rFonts w:ascii="Aptos" w:hAnsi="Aptos"/>
                <w:color w:val="002060"/>
                <w:lang w:val="cs-CZ"/>
              </w:rPr>
            </w:pPr>
            <w:r w:rsidRPr="135080A3">
              <w:rPr>
                <w:rFonts w:ascii="Aptos" w:hAnsi="Aptos"/>
                <w:color w:val="002060"/>
                <w:lang w:val="cs-CZ"/>
              </w:rPr>
              <w:t>Multidisciplinární systematické hodnocení (HTA) centralizovaně shromážděných dat a výsledků léčebných postupů za účelem optimalizace systému úhrad specializované péče reflektující technologický rozvoj.</w:t>
            </w:r>
          </w:p>
          <w:p w14:paraId="3E756E6C" w14:textId="18037D2A" w:rsidR="00873D37" w:rsidRPr="00F72499" w:rsidRDefault="223F6C2C" w:rsidP="00BD533A">
            <w:pPr>
              <w:pStyle w:val="Seznamsodrkami"/>
              <w:tabs>
                <w:tab w:val="clear" w:pos="360"/>
                <w:tab w:val="num" w:pos="456"/>
              </w:tabs>
              <w:ind w:right="171" w:hanging="184"/>
              <w:jc w:val="both"/>
              <w:rPr>
                <w:rFonts w:ascii="Aptos" w:hAnsi="Aptos"/>
                <w:color w:val="002060"/>
                <w:lang w:val="cs-CZ"/>
              </w:rPr>
            </w:pPr>
            <w:r w:rsidRPr="135080A3">
              <w:rPr>
                <w:rFonts w:ascii="Aptos" w:hAnsi="Aptos"/>
                <w:color w:val="002060"/>
                <w:lang w:val="cs-CZ"/>
              </w:rPr>
              <w:t xml:space="preserve">Zavést funkční mechanismus pro systematické předávání výstupů Poradního orgánu pro ORPHAN léčiva příslušným profesím zapojeným do péče o pacienty se </w:t>
            </w:r>
            <w:r w:rsidR="00577EDD" w:rsidRPr="135080A3">
              <w:rPr>
                <w:rFonts w:ascii="Aptos" w:hAnsi="Aptos"/>
                <w:color w:val="002060"/>
                <w:lang w:val="cs-CZ"/>
              </w:rPr>
              <w:t>VO</w:t>
            </w:r>
            <w:r w:rsidRPr="135080A3">
              <w:rPr>
                <w:rFonts w:ascii="Aptos" w:hAnsi="Aptos"/>
                <w:color w:val="002060"/>
                <w:lang w:val="cs-CZ"/>
              </w:rPr>
              <w:t>.</w:t>
            </w:r>
          </w:p>
          <w:p w14:paraId="3A1A0704" w14:textId="7F389366" w:rsidR="00873D37" w:rsidRPr="00F72499" w:rsidRDefault="223F6C2C" w:rsidP="00BD533A">
            <w:pPr>
              <w:pStyle w:val="Seznamsodrkami"/>
              <w:tabs>
                <w:tab w:val="clear" w:pos="360"/>
                <w:tab w:val="num" w:pos="456"/>
              </w:tabs>
              <w:spacing w:after="120"/>
              <w:ind w:left="357" w:right="171" w:hanging="184"/>
              <w:jc w:val="both"/>
              <w:rPr>
                <w:rFonts w:ascii="Aptos" w:hAnsi="Aptos"/>
                <w:color w:val="002060"/>
                <w:sz w:val="21"/>
                <w:szCs w:val="21"/>
                <w:lang w:val="cs-CZ"/>
              </w:rPr>
            </w:pPr>
            <w:r w:rsidRPr="135080A3">
              <w:rPr>
                <w:rFonts w:ascii="Aptos" w:hAnsi="Aptos"/>
                <w:color w:val="002060"/>
                <w:lang w:val="cs-CZ"/>
              </w:rPr>
              <w:t xml:space="preserve">Vyhodnocení způsobů a přínosů integrace telemedicíny a distanční (zdravotní i sociální) péče do specializované péče o pacienty se VO </w:t>
            </w:r>
            <w:r w:rsidR="00ED10DA">
              <w:rPr>
                <w:rFonts w:ascii="Aptos" w:hAnsi="Aptos"/>
                <w:color w:val="002060"/>
                <w:lang w:val="cs-CZ"/>
              </w:rPr>
              <w:t xml:space="preserve">           </w:t>
            </w:r>
            <w:r w:rsidRPr="135080A3">
              <w:rPr>
                <w:rFonts w:ascii="Aptos" w:hAnsi="Aptos"/>
                <w:color w:val="002060"/>
                <w:lang w:val="cs-CZ"/>
              </w:rPr>
              <w:t>a navržení způsobu jejich implementace.</w:t>
            </w:r>
          </w:p>
        </w:tc>
      </w:tr>
      <w:tr w:rsidR="00873D37" w:rsidRPr="00F72499" w14:paraId="77A75F78" w14:textId="77777777" w:rsidTr="135080A3">
        <w:trPr>
          <w:jc w:val="center"/>
        </w:trPr>
        <w:tc>
          <w:tcPr>
            <w:tcW w:w="1696" w:type="dxa"/>
            <w:tcBorders>
              <w:top w:val="single" w:sz="4" w:space="0" w:color="002060"/>
            </w:tcBorders>
            <w:vAlign w:val="center"/>
          </w:tcPr>
          <w:p w14:paraId="7CE3B233" w14:textId="77777777"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Garant</w:t>
            </w:r>
          </w:p>
        </w:tc>
        <w:tc>
          <w:tcPr>
            <w:tcW w:w="7366" w:type="dxa"/>
            <w:tcBorders>
              <w:top w:val="single" w:sz="4" w:space="0" w:color="002060"/>
            </w:tcBorders>
          </w:tcPr>
          <w:p w14:paraId="46384477" w14:textId="77777777" w:rsidR="00873D37" w:rsidRPr="00F72499" w:rsidRDefault="00C05BF8" w:rsidP="1EB33230">
            <w:pPr>
              <w:spacing w:after="0" w:line="252" w:lineRule="auto"/>
              <w:rPr>
                <w:rFonts w:ascii="Aptos" w:hAnsi="Aptos"/>
                <w:color w:val="002060"/>
                <w:sz w:val="21"/>
                <w:szCs w:val="21"/>
              </w:rPr>
            </w:pPr>
            <w:r w:rsidRPr="00F72499">
              <w:rPr>
                <w:rFonts w:ascii="Aptos" w:hAnsi="Aptos"/>
                <w:color w:val="002060"/>
                <w:sz w:val="21"/>
                <w:szCs w:val="21"/>
              </w:rPr>
              <w:t>MZD Odbor zdravotní péče ve spolupráci s věcně příslušnými útvary MZD pro eHealth, zdravotní technologie, léčiva a úhrady.</w:t>
            </w:r>
          </w:p>
        </w:tc>
      </w:tr>
      <w:tr w:rsidR="00873D37" w:rsidRPr="00F72499" w14:paraId="5364F109" w14:textId="77777777" w:rsidTr="135080A3">
        <w:trPr>
          <w:jc w:val="center"/>
        </w:trPr>
        <w:tc>
          <w:tcPr>
            <w:tcW w:w="1696" w:type="dxa"/>
            <w:tcBorders>
              <w:top w:val="single" w:sz="4" w:space="0" w:color="002060"/>
              <w:bottom w:val="single" w:sz="4" w:space="0" w:color="002060"/>
              <w:right w:val="single" w:sz="4" w:space="0" w:color="002060"/>
            </w:tcBorders>
            <w:vAlign w:val="center"/>
          </w:tcPr>
          <w:p w14:paraId="6B06816B" w14:textId="4B0679B2" w:rsidR="00873D37" w:rsidRPr="00F72499" w:rsidRDefault="00C05BF8" w:rsidP="1EB33230">
            <w:pPr>
              <w:spacing w:after="0" w:line="252" w:lineRule="auto"/>
              <w:rPr>
                <w:rFonts w:ascii="Aptos" w:hAnsi="Aptos"/>
                <w:color w:val="002060"/>
                <w:sz w:val="22"/>
                <w:szCs w:val="22"/>
              </w:rPr>
            </w:pPr>
            <w:r w:rsidRPr="00F72499">
              <w:rPr>
                <w:rFonts w:ascii="Aptos" w:hAnsi="Aptos"/>
                <w:b/>
                <w:bCs/>
                <w:color w:val="002060"/>
                <w:sz w:val="22"/>
                <w:szCs w:val="22"/>
              </w:rPr>
              <w:t xml:space="preserve">Spolupracující subjekty </w:t>
            </w:r>
            <w:r w:rsidRPr="00F72499">
              <w:br/>
            </w:r>
            <w:r w:rsidRPr="00F72499">
              <w:rPr>
                <w:rFonts w:ascii="Aptos" w:hAnsi="Aptos"/>
                <w:b/>
                <w:bCs/>
                <w:color w:val="002060"/>
                <w:sz w:val="22"/>
                <w:szCs w:val="22"/>
              </w:rPr>
              <w:t>a instituce</w:t>
            </w:r>
          </w:p>
        </w:tc>
        <w:tc>
          <w:tcPr>
            <w:tcW w:w="7366" w:type="dxa"/>
            <w:tcBorders>
              <w:top w:val="single" w:sz="4" w:space="0" w:color="002060"/>
              <w:left w:val="single" w:sz="4" w:space="0" w:color="002060"/>
              <w:bottom w:val="single" w:sz="4" w:space="0" w:color="002060"/>
            </w:tcBorders>
          </w:tcPr>
          <w:p w14:paraId="739FC567" w14:textId="1CCC6726" w:rsidR="00873D37" w:rsidRPr="00F72499" w:rsidRDefault="223F6C2C" w:rsidP="00BD533A">
            <w:pPr>
              <w:spacing w:before="120" w:line="252" w:lineRule="auto"/>
              <w:jc w:val="both"/>
              <w:rPr>
                <w:rFonts w:ascii="Aptos" w:hAnsi="Aptos"/>
                <w:color w:val="002060"/>
                <w:sz w:val="21"/>
                <w:szCs w:val="21"/>
              </w:rPr>
            </w:pPr>
            <w:r w:rsidRPr="00F72499">
              <w:rPr>
                <w:rFonts w:ascii="Aptos" w:hAnsi="Aptos"/>
                <w:color w:val="002060"/>
                <w:sz w:val="21"/>
                <w:szCs w:val="21"/>
              </w:rPr>
              <w:t>Zdravotní pojišťovny; Poskytovatelé zdravotních služeb; Odbor Národního centra elektronického zdravotnictví; MZD Odbor regulace cen a úhrad; MZD Odbor</w:t>
            </w:r>
            <w:r w:rsidR="00BD533A" w:rsidRPr="00F72499">
              <w:rPr>
                <w:rFonts w:ascii="Aptos" w:hAnsi="Aptos"/>
                <w:color w:val="002060"/>
                <w:sz w:val="21"/>
                <w:szCs w:val="21"/>
              </w:rPr>
              <w:t xml:space="preserve"> </w:t>
            </w:r>
            <w:r w:rsidRPr="00F72499">
              <w:rPr>
                <w:rFonts w:ascii="Aptos" w:hAnsi="Aptos"/>
                <w:color w:val="002060"/>
                <w:sz w:val="21"/>
                <w:szCs w:val="21"/>
              </w:rPr>
              <w:t>léčiv a zdravotnických prostředků; MZD Oddělení inovací, strategického rozvoje, digitálních technologií AI; MZD Oddělení hodnocení zdravotnických technologií</w:t>
            </w:r>
            <w:r w:rsidR="00CB77FC" w:rsidRPr="00F72499">
              <w:rPr>
                <w:rFonts w:ascii="Aptos" w:hAnsi="Aptos"/>
                <w:color w:val="002060"/>
                <w:sz w:val="21"/>
                <w:szCs w:val="21"/>
              </w:rPr>
              <w:t>;</w:t>
            </w:r>
            <w:r w:rsidRPr="00F72499">
              <w:rPr>
                <w:rFonts w:ascii="Aptos" w:hAnsi="Aptos"/>
                <w:color w:val="002060"/>
                <w:sz w:val="21"/>
                <w:szCs w:val="21"/>
              </w:rPr>
              <w:t xml:space="preserve"> Pacientské organizace; Kraje; Velké výzkumné infrastruktury.</w:t>
            </w:r>
          </w:p>
        </w:tc>
      </w:tr>
    </w:tbl>
    <w:p w14:paraId="627FC068" w14:textId="77777777" w:rsidR="00873D37" w:rsidRPr="00F72499" w:rsidRDefault="00873D37" w:rsidP="1EB33230">
      <w:pPr>
        <w:rPr>
          <w:rFonts w:ascii="Aptos" w:hAnsi="Aptos"/>
          <w:color w:val="002060"/>
          <w:sz w:val="22"/>
          <w:szCs w:val="22"/>
        </w:rPr>
      </w:pPr>
    </w:p>
    <w:p w14:paraId="5A054353" w14:textId="77777777" w:rsidR="00873D37" w:rsidRPr="00F72499" w:rsidRDefault="00C05BF8" w:rsidP="00AF6770">
      <w:pPr>
        <w:pStyle w:val="Nadpis1"/>
        <w:spacing w:before="360" w:after="80" w:line="259" w:lineRule="auto"/>
        <w:ind w:left="432" w:hanging="432"/>
        <w:rPr>
          <w:rFonts w:ascii="Aptos" w:hAnsi="Aptos"/>
          <w:b w:val="0"/>
          <w:bCs w:val="0"/>
          <w:color w:val="002060"/>
          <w:kern w:val="2"/>
          <w:sz w:val="40"/>
          <w:szCs w:val="40"/>
          <w:lang w:val="cs-CZ"/>
          <w14:ligatures w14:val="standardContextual"/>
        </w:rPr>
      </w:pPr>
      <w:bookmarkStart w:id="14" w:name="_Toc231330685"/>
      <w:r w:rsidRPr="00F72499">
        <w:rPr>
          <w:rFonts w:ascii="Aptos" w:hAnsi="Aptos"/>
          <w:b w:val="0"/>
          <w:bCs w:val="0"/>
          <w:color w:val="002060"/>
          <w:kern w:val="2"/>
          <w:sz w:val="40"/>
          <w:szCs w:val="40"/>
          <w:lang w:val="cs-CZ"/>
          <w14:ligatures w14:val="standardContextual"/>
        </w:rPr>
        <w:t>6 Fáze implementace</w:t>
      </w:r>
      <w:bookmarkEnd w:id="14"/>
    </w:p>
    <w:p w14:paraId="16F4B66C" w14:textId="77777777" w:rsidR="00873D37" w:rsidRPr="00F72499" w:rsidRDefault="00C05BF8" w:rsidP="00AF6770">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15" w:name="_Toc231330686"/>
      <w:r w:rsidRPr="00F72499">
        <w:rPr>
          <w:rFonts w:ascii="Aptos" w:hAnsi="Aptos"/>
          <w:b w:val="0"/>
          <w:bCs w:val="0"/>
          <w:color w:val="002060"/>
          <w:kern w:val="2"/>
          <w:sz w:val="32"/>
          <w:szCs w:val="32"/>
          <w:lang w:val="cs-CZ"/>
          <w14:ligatures w14:val="standardContextual"/>
        </w:rPr>
        <w:t>6.1 Implementační fáze 1: 2027–2029</w:t>
      </w:r>
      <w:bookmarkEnd w:id="15"/>
    </w:p>
    <w:p w14:paraId="45071CF5" w14:textId="77777777" w:rsidR="00873D37" w:rsidRPr="00F72499" w:rsidRDefault="00C05BF8" w:rsidP="00AF6770">
      <w:pPr>
        <w:spacing w:before="240" w:after="0"/>
        <w:rPr>
          <w:rFonts w:ascii="Aptos" w:hAnsi="Aptos"/>
          <w:b/>
          <w:bCs/>
          <w:color w:val="002060"/>
          <w:sz w:val="24"/>
          <w:szCs w:val="24"/>
        </w:rPr>
      </w:pPr>
      <w:r w:rsidRPr="00F72499">
        <w:rPr>
          <w:rFonts w:ascii="Aptos" w:hAnsi="Aptos"/>
          <w:b/>
          <w:bCs/>
          <w:color w:val="002060"/>
          <w:sz w:val="24"/>
          <w:szCs w:val="24"/>
        </w:rPr>
        <w:t>Charakter implementace v období 2027–2029</w:t>
      </w:r>
    </w:p>
    <w:p w14:paraId="3CEEC709" w14:textId="4BAA97BF" w:rsidR="00873D37" w:rsidRPr="00F72499" w:rsidRDefault="00C05BF8" w:rsidP="00AF6770">
      <w:pPr>
        <w:spacing w:after="160"/>
        <w:jc w:val="both"/>
        <w:rPr>
          <w:rFonts w:ascii="Aptos" w:eastAsiaTheme="minorHAnsi" w:hAnsi="Aptos"/>
          <w:color w:val="002060"/>
          <w:kern w:val="2"/>
          <w:sz w:val="22"/>
          <w:szCs w:val="22"/>
          <w14:ligatures w14:val="standardContextual"/>
        </w:rPr>
      </w:pPr>
      <w:r w:rsidRPr="00F72499">
        <w:rPr>
          <w:rFonts w:ascii="Aptos" w:eastAsiaTheme="minorHAnsi" w:hAnsi="Aptos"/>
          <w:color w:val="002060"/>
          <w:kern w:val="2"/>
          <w:sz w:val="22"/>
          <w:szCs w:val="22"/>
          <w14:ligatures w14:val="standardContextual"/>
        </w:rPr>
        <w:lastRenderedPageBreak/>
        <w:t>V první implementační fázi je důraz kladen na vytvoření základní páteře systému: datové a</w:t>
      </w:r>
      <w:r w:rsidR="00AF6770"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 xml:space="preserve">analytické podklady pro řízení péče, rámec pro úpravu systému specializované péče, vymezení </w:t>
      </w:r>
      <w:r w:rsidR="00AF6770" w:rsidRPr="00F72499">
        <w:rPr>
          <w:rFonts w:ascii="Aptos" w:eastAsiaTheme="minorHAnsi" w:hAnsi="Aptos"/>
          <w:color w:val="002060"/>
          <w:kern w:val="2"/>
          <w:sz w:val="22"/>
          <w:szCs w:val="22"/>
          <w14:ligatures w14:val="standardContextual"/>
        </w:rPr>
        <w:t>standardů a</w:t>
      </w:r>
      <w:r w:rsidRPr="00F72499">
        <w:rPr>
          <w:rFonts w:ascii="Aptos" w:eastAsiaTheme="minorHAnsi" w:hAnsi="Aptos"/>
          <w:color w:val="002060"/>
          <w:kern w:val="2"/>
          <w:sz w:val="22"/>
          <w:szCs w:val="22"/>
          <w14:ligatures w14:val="standardContextual"/>
        </w:rPr>
        <w:t xml:space="preserve"> indikátorů kvality, zavedení nebo posílení nástrojů mezinárodní spolupráce a</w:t>
      </w:r>
      <w:r w:rsidR="00AF6770"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přípravu podmínek pro telemedicínu a</w:t>
      </w:r>
      <w:r w:rsidR="00577EDD" w:rsidRPr="00F72499">
        <w:rPr>
          <w:rFonts w:ascii="Aptos" w:eastAsiaTheme="minorHAnsi" w:hAnsi="Aptos"/>
          <w:color w:val="002060"/>
          <w:kern w:val="2"/>
          <w:sz w:val="22"/>
          <w:szCs w:val="22"/>
          <w14:ligatures w14:val="standardContextual"/>
        </w:rPr>
        <w:t> </w:t>
      </w:r>
      <w:r w:rsidRPr="00F72499">
        <w:rPr>
          <w:rFonts w:ascii="Aptos" w:eastAsiaTheme="minorHAnsi" w:hAnsi="Aptos"/>
          <w:color w:val="002060"/>
          <w:kern w:val="2"/>
          <w:sz w:val="22"/>
          <w:szCs w:val="22"/>
          <w14:ligatures w14:val="standardContextual"/>
        </w:rPr>
        <w:t>distanční péči.</w:t>
      </w:r>
    </w:p>
    <w:p w14:paraId="2F566A8E" w14:textId="77777777" w:rsidR="00873D37" w:rsidRPr="00F72499" w:rsidRDefault="00C05BF8" w:rsidP="00D35141">
      <w:pPr>
        <w:spacing w:after="0"/>
        <w:rPr>
          <w:rFonts w:ascii="Aptos" w:hAnsi="Aptos"/>
          <w:b/>
          <w:bCs/>
          <w:color w:val="002060"/>
          <w:sz w:val="24"/>
          <w:szCs w:val="24"/>
        </w:rPr>
      </w:pPr>
      <w:r w:rsidRPr="00F72499">
        <w:rPr>
          <w:rFonts w:ascii="Aptos" w:hAnsi="Aptos"/>
          <w:b/>
          <w:bCs/>
          <w:color w:val="002060"/>
          <w:sz w:val="24"/>
          <w:szCs w:val="24"/>
        </w:rPr>
        <w:t>Opatření a aktivity řešené v implementační fázi 1 (2027–2029)</w:t>
      </w:r>
    </w:p>
    <w:tbl>
      <w:tblPr>
        <w:tblStyle w:val="Mkatabulky"/>
        <w:tblW w:w="89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2778"/>
        <w:gridCol w:w="5636"/>
      </w:tblGrid>
      <w:tr w:rsidR="00AF6770" w:rsidRPr="00F72499" w14:paraId="6A2030AA" w14:textId="77777777" w:rsidTr="135080A3">
        <w:trPr>
          <w:trHeight w:val="559"/>
          <w:tblHeader/>
          <w:jc w:val="center"/>
        </w:trPr>
        <w:tc>
          <w:tcPr>
            <w:tcW w:w="562" w:type="dxa"/>
            <w:tcBorders>
              <w:top w:val="single" w:sz="4" w:space="0" w:color="002060"/>
              <w:bottom w:val="single" w:sz="4" w:space="0" w:color="002060"/>
              <w:right w:val="single" w:sz="4" w:space="0" w:color="002060"/>
            </w:tcBorders>
            <w:shd w:val="clear" w:color="auto" w:fill="E6F6F1"/>
            <w:vAlign w:val="center"/>
          </w:tcPr>
          <w:p w14:paraId="10F24766" w14:textId="77777777" w:rsidR="00AF6770" w:rsidRPr="00F72499" w:rsidRDefault="00AF6770" w:rsidP="1EB33230">
            <w:pPr>
              <w:spacing w:after="0" w:line="252" w:lineRule="auto"/>
              <w:jc w:val="center"/>
              <w:rPr>
                <w:rFonts w:ascii="Aptos" w:hAnsi="Aptos"/>
                <w:color w:val="002060"/>
                <w:sz w:val="24"/>
                <w:szCs w:val="24"/>
              </w:rPr>
            </w:pPr>
            <w:r w:rsidRPr="00F72499">
              <w:rPr>
                <w:rFonts w:ascii="Aptos" w:hAnsi="Aptos"/>
                <w:b/>
                <w:bCs/>
                <w:color w:val="002060"/>
                <w:sz w:val="24"/>
                <w:szCs w:val="24"/>
              </w:rPr>
              <w:t>SC</w:t>
            </w:r>
          </w:p>
        </w:tc>
        <w:tc>
          <w:tcPr>
            <w:tcW w:w="2778"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39A9CD3A" w14:textId="77777777" w:rsidR="00AF6770" w:rsidRPr="00F72499" w:rsidRDefault="00AF6770" w:rsidP="1EB33230">
            <w:pPr>
              <w:spacing w:after="0" w:line="252" w:lineRule="auto"/>
              <w:jc w:val="center"/>
              <w:rPr>
                <w:rFonts w:ascii="Aptos" w:hAnsi="Aptos"/>
                <w:color w:val="002060"/>
                <w:sz w:val="24"/>
                <w:szCs w:val="24"/>
              </w:rPr>
            </w:pPr>
            <w:r w:rsidRPr="00F72499">
              <w:rPr>
                <w:rFonts w:ascii="Aptos" w:hAnsi="Aptos"/>
                <w:b/>
                <w:bCs/>
                <w:color w:val="002060"/>
                <w:sz w:val="24"/>
                <w:szCs w:val="24"/>
              </w:rPr>
              <w:t>Opatření</w:t>
            </w:r>
          </w:p>
        </w:tc>
        <w:tc>
          <w:tcPr>
            <w:tcW w:w="5636" w:type="dxa"/>
            <w:tcBorders>
              <w:top w:val="single" w:sz="4" w:space="0" w:color="002060"/>
              <w:left w:val="single" w:sz="4" w:space="0" w:color="002060"/>
              <w:bottom w:val="single" w:sz="4" w:space="0" w:color="002060"/>
            </w:tcBorders>
            <w:shd w:val="clear" w:color="auto" w:fill="E6F6F1"/>
            <w:vAlign w:val="center"/>
          </w:tcPr>
          <w:p w14:paraId="4232F440" w14:textId="5333CDAE" w:rsidR="00AF6770" w:rsidRPr="00F72499" w:rsidRDefault="00AF6770" w:rsidP="1EB33230">
            <w:pPr>
              <w:spacing w:after="0" w:line="252" w:lineRule="auto"/>
              <w:jc w:val="center"/>
              <w:rPr>
                <w:rFonts w:ascii="Aptos" w:hAnsi="Aptos"/>
                <w:color w:val="002060"/>
                <w:sz w:val="24"/>
                <w:szCs w:val="24"/>
              </w:rPr>
            </w:pPr>
            <w:r w:rsidRPr="00F72499">
              <w:rPr>
                <w:rFonts w:ascii="Aptos" w:hAnsi="Aptos"/>
                <w:b/>
                <w:bCs/>
                <w:color w:val="002060"/>
                <w:sz w:val="24"/>
                <w:szCs w:val="24"/>
              </w:rPr>
              <w:t>Navržené aktivity / možné dílčí kroky</w:t>
            </w:r>
          </w:p>
        </w:tc>
      </w:tr>
      <w:tr w:rsidR="00AF6770" w:rsidRPr="00F72499" w14:paraId="7CB47B54"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12DD6ACE"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t>2.1</w:t>
            </w:r>
          </w:p>
        </w:tc>
        <w:tc>
          <w:tcPr>
            <w:tcW w:w="2778"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5357106A" w14:textId="056670D8"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 xml:space="preserve">Analýza dostupných dat </w:t>
            </w:r>
            <w:r w:rsidRPr="00F72499">
              <w:rPr>
                <w:rFonts w:ascii="Aptos" w:hAnsi="Aptos"/>
                <w:color w:val="002060"/>
                <w:sz w:val="22"/>
                <w:szCs w:val="22"/>
              </w:rPr>
              <w:br/>
              <w:t xml:space="preserve">o poskytování péče pacientům s VO v NZIS </w:t>
            </w:r>
            <w:r w:rsidRPr="00F72499">
              <w:rPr>
                <w:sz w:val="22"/>
                <w:szCs w:val="22"/>
              </w:rPr>
              <w:br/>
            </w:r>
            <w:r w:rsidRPr="00F72499">
              <w:rPr>
                <w:rFonts w:ascii="Aptos" w:hAnsi="Aptos"/>
                <w:color w:val="002060"/>
                <w:sz w:val="22"/>
                <w:szCs w:val="22"/>
              </w:rPr>
              <w:t>a Národním registru VO.</w:t>
            </w:r>
          </w:p>
        </w:tc>
        <w:tc>
          <w:tcPr>
            <w:tcW w:w="5636" w:type="dxa"/>
            <w:tcBorders>
              <w:top w:val="single" w:sz="4" w:space="0" w:color="002060"/>
              <w:left w:val="single" w:sz="4" w:space="0" w:color="002060"/>
              <w:bottom w:val="single" w:sz="4" w:space="0" w:color="002060"/>
            </w:tcBorders>
          </w:tcPr>
          <w:p w14:paraId="4E1D9975"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Vymezit účel a rozsah analýzy: objem, struktura, kvalita a dostupnost péče o pacienty s VO.</w:t>
            </w:r>
          </w:p>
          <w:p w14:paraId="60950D5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Zajistit přístup a metodické vymezení datových zdrojů včetně vazby na výstupy SYPOVO, NZIS a NRVO.</w:t>
            </w:r>
          </w:p>
          <w:p w14:paraId="512ED69E"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Identifikovat klíčové oblasti analýzy: počty pacientů, regionální a oborové rozdíly, kapacity center, péče mimo CVSP-VO.</w:t>
            </w:r>
          </w:p>
          <w:p w14:paraId="0CEC54D3"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Zhodnotit limity současných dat, zejména kvalitu diagnostického kódování a dostupnost dat mimo centra.</w:t>
            </w:r>
          </w:p>
          <w:p w14:paraId="617EEBEE"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Zapojit odborné partnery: ÚZIS, CVSP-VO, odborné společnosti, zdravotní pojišťovny a pacientské organizace.</w:t>
            </w:r>
          </w:p>
          <w:p w14:paraId="5D2DFC06"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Zpracovat analytický výstup a návrh dalšího postupu pro řízení sítě a plánování kapacit.</w:t>
            </w:r>
          </w:p>
        </w:tc>
      </w:tr>
      <w:tr w:rsidR="00AF6770" w:rsidRPr="00F72499" w14:paraId="082E6720" w14:textId="77777777" w:rsidTr="135080A3">
        <w:trPr>
          <w:trHeight w:val="300"/>
          <w:jc w:val="center"/>
        </w:trPr>
        <w:tc>
          <w:tcPr>
            <w:tcW w:w="562" w:type="dxa"/>
            <w:tcBorders>
              <w:top w:val="single" w:sz="4" w:space="0" w:color="002060"/>
              <w:right w:val="single" w:sz="4" w:space="0" w:color="002060"/>
            </w:tcBorders>
            <w:vAlign w:val="center"/>
          </w:tcPr>
          <w:p w14:paraId="29BD7DBD"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t>2.1</w:t>
            </w:r>
          </w:p>
        </w:tc>
        <w:tc>
          <w:tcPr>
            <w:tcW w:w="2778" w:type="dxa"/>
            <w:tcBorders>
              <w:top w:val="single" w:sz="4" w:space="0" w:color="002060"/>
              <w:left w:val="single" w:sz="4" w:space="0" w:color="002060"/>
              <w:right w:val="single" w:sz="4" w:space="0" w:color="002060"/>
            </w:tcBorders>
            <w:shd w:val="clear" w:color="auto" w:fill="E6F6F1"/>
            <w:vAlign w:val="center"/>
          </w:tcPr>
          <w:p w14:paraId="658D7E58" w14:textId="77777777" w:rsidR="00AF6770" w:rsidRPr="00F72499" w:rsidRDefault="00AF6770" w:rsidP="00F832E5">
            <w:pPr>
              <w:spacing w:after="0" w:line="252" w:lineRule="auto"/>
              <w:rPr>
                <w:rFonts w:ascii="Aptos" w:hAnsi="Aptos"/>
                <w:color w:val="002060"/>
              </w:rPr>
            </w:pPr>
            <w:r w:rsidRPr="00F72499">
              <w:rPr>
                <w:rFonts w:ascii="Aptos" w:hAnsi="Aptos"/>
                <w:color w:val="002060"/>
                <w:sz w:val="22"/>
                <w:szCs w:val="22"/>
              </w:rPr>
              <w:t>Vyhodnocení získaných informací a odpovídající úprava stávajících nebo nastavení nových systémových opatření, včetně specifických standardů péče.</w:t>
            </w:r>
          </w:p>
        </w:tc>
        <w:tc>
          <w:tcPr>
            <w:tcW w:w="5636" w:type="dxa"/>
            <w:tcBorders>
              <w:top w:val="single" w:sz="4" w:space="0" w:color="002060"/>
              <w:left w:val="single" w:sz="4" w:space="0" w:color="002060"/>
            </w:tcBorders>
          </w:tcPr>
          <w:p w14:paraId="0034E923"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Prověřit potřebu posílení kapacit center, včetně možnosti vzniku nebo rozvoje specializovaných pracovišť podle reálných potřeb diagnóz.</w:t>
            </w:r>
          </w:p>
          <w:p w14:paraId="08E09E2A" w14:textId="3CF3D3D8"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Definovat rozhodovací kritéria pro úpravu sítě: počet pacientů, dostupnost péče, expertíza, personální a technické kapacity.</w:t>
            </w:r>
          </w:p>
          <w:p w14:paraId="2C205873"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Zmapovat fungování sdílené péče a průchodnost mezi primární, specializovanou a vysoce specializovanou úrovní.</w:t>
            </w:r>
          </w:p>
          <w:p w14:paraId="6FEDF58D" w14:textId="79FCC32A"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Identifikovat kritické uzly a bariéry: čekací doby, nejasné role, chybějící standardy, nedostupné kapacity a nesdílená dokumentace.</w:t>
            </w:r>
          </w:p>
          <w:p w14:paraId="16F2259D"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Navrhnout filtrační a koordinační mechanismy pro efektivní směrování pacientů.</w:t>
            </w:r>
          </w:p>
          <w:p w14:paraId="6299ABC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Připravit návrhy specifických standardů péče pro vybrané skupiny VO a posoudit dopad na úhradové mechanismy.</w:t>
            </w:r>
          </w:p>
        </w:tc>
      </w:tr>
      <w:tr w:rsidR="00AF6770" w:rsidRPr="00F72499" w14:paraId="034E43AF"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139138A9"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t>2.1</w:t>
            </w:r>
          </w:p>
        </w:tc>
        <w:tc>
          <w:tcPr>
            <w:tcW w:w="2778"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45375FEB" w14:textId="77777777"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Zavádění dostupných nových forem poskytování péče do klinické praxe.</w:t>
            </w:r>
          </w:p>
        </w:tc>
        <w:tc>
          <w:tcPr>
            <w:tcW w:w="5636" w:type="dxa"/>
            <w:tcBorders>
              <w:top w:val="single" w:sz="4" w:space="0" w:color="002060"/>
              <w:left w:val="single" w:sz="4" w:space="0" w:color="002060"/>
              <w:bottom w:val="single" w:sz="4" w:space="0" w:color="002060"/>
            </w:tcBorders>
          </w:tcPr>
          <w:p w14:paraId="7867A0D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Identifikovat nové formy péče vhodné pro VO, např. sdílené ambulance, interdisciplinární konzultace, výjezdní nebo distanční formy péče.</w:t>
            </w:r>
          </w:p>
          <w:p w14:paraId="3A93776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Zmapovat zahraniční zkušenosti a posoudit klinickou, organizační, legislativní a finanční proveditelnost.</w:t>
            </w:r>
          </w:p>
          <w:p w14:paraId="4659B0DF" w14:textId="2D4A6AA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Provést HTA nebo obdobné posouzení přínosů a rizik u vybraných forem péče.</w:t>
            </w:r>
          </w:p>
          <w:p w14:paraId="79E322CA"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lastRenderedPageBreak/>
              <w:t>Připravit nebo aktualizovat standardizované klinické postupy a organizační pravidla.</w:t>
            </w:r>
          </w:p>
          <w:p w14:paraId="19BAA00A"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Ověřit vybrané formy péče pilotně a připravit návrh jejich širší implementace.</w:t>
            </w:r>
          </w:p>
          <w:p w14:paraId="279A4E77" w14:textId="4D1E24D3"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Vyjasnit úhradové ukotvení podle výsledků hodnocení a jednání s plátci.</w:t>
            </w:r>
          </w:p>
        </w:tc>
      </w:tr>
      <w:tr w:rsidR="00AF6770" w:rsidRPr="00F72499" w14:paraId="21E33616" w14:textId="77777777" w:rsidTr="135080A3">
        <w:trPr>
          <w:trHeight w:val="300"/>
          <w:jc w:val="center"/>
        </w:trPr>
        <w:tc>
          <w:tcPr>
            <w:tcW w:w="562" w:type="dxa"/>
            <w:tcBorders>
              <w:top w:val="single" w:sz="4" w:space="0" w:color="002060"/>
              <w:bottom w:val="single" w:sz="4" w:space="0" w:color="4472C4"/>
              <w:right w:val="single" w:sz="4" w:space="0" w:color="002060"/>
            </w:tcBorders>
            <w:vAlign w:val="center"/>
          </w:tcPr>
          <w:p w14:paraId="1BF15C69"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lastRenderedPageBreak/>
              <w:t>2.1</w:t>
            </w:r>
          </w:p>
        </w:tc>
        <w:tc>
          <w:tcPr>
            <w:tcW w:w="2778" w:type="dxa"/>
            <w:tcBorders>
              <w:top w:val="single" w:sz="4" w:space="0" w:color="002060"/>
              <w:left w:val="single" w:sz="4" w:space="0" w:color="002060"/>
              <w:bottom w:val="single" w:sz="4" w:space="0" w:color="4472C4"/>
              <w:right w:val="single" w:sz="4" w:space="0" w:color="002060"/>
            </w:tcBorders>
            <w:shd w:val="clear" w:color="auto" w:fill="E6F6F1"/>
            <w:vAlign w:val="center"/>
          </w:tcPr>
          <w:p w14:paraId="1572D87A" w14:textId="38257F00"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 xml:space="preserve">Stanovení indikátorů kvality a efektivity specializované péče </w:t>
            </w:r>
            <w:r w:rsidRPr="00F72499">
              <w:rPr>
                <w:sz w:val="22"/>
                <w:szCs w:val="22"/>
              </w:rPr>
              <w:br/>
            </w:r>
            <w:r w:rsidRPr="00F72499">
              <w:rPr>
                <w:rFonts w:ascii="Aptos" w:hAnsi="Aptos"/>
                <w:color w:val="002060"/>
                <w:sz w:val="22"/>
                <w:szCs w:val="22"/>
              </w:rPr>
              <w:t>v centrech pro VO.</w:t>
            </w:r>
          </w:p>
        </w:tc>
        <w:tc>
          <w:tcPr>
            <w:tcW w:w="5636" w:type="dxa"/>
            <w:tcBorders>
              <w:top w:val="single" w:sz="4" w:space="0" w:color="002060"/>
              <w:left w:val="single" w:sz="4" w:space="0" w:color="002060"/>
              <w:bottom w:val="single" w:sz="4" w:space="0" w:color="4472C4"/>
            </w:tcBorders>
          </w:tcPr>
          <w:p w14:paraId="71E779DD" w14:textId="29E68886"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Definovat účel indikátorů: hodnocení funkčnosti center, řízení kvality, identifikace oblastí ke zlepšení a porovnatelnost s evropskými standardy.</w:t>
            </w:r>
          </w:p>
          <w:p w14:paraId="583B004E"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Vytvořit rámec kategorií indikátorů: struktura, procesy, výsledky péče, dostupnost, výzkum, vzdělávání, zapojení pacientů, eHealth.</w:t>
            </w:r>
          </w:p>
          <w:p w14:paraId="6A879543" w14:textId="0400415C"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Vytvořit datové standardy pro sběr indikátorů: definice, zdroj dat, periodicita, způsob výpočtu a</w:t>
            </w:r>
            <w:r w:rsidR="00F832E5" w:rsidRPr="135080A3">
              <w:rPr>
                <w:rFonts w:ascii="Aptos" w:hAnsi="Aptos"/>
                <w:color w:val="002060"/>
                <w:lang w:val="cs-CZ"/>
              </w:rPr>
              <w:t> </w:t>
            </w:r>
            <w:r w:rsidRPr="135080A3">
              <w:rPr>
                <w:rFonts w:ascii="Aptos" w:hAnsi="Aptos"/>
                <w:color w:val="002060"/>
                <w:lang w:val="cs-CZ"/>
              </w:rPr>
              <w:t>odpovědnost.</w:t>
            </w:r>
          </w:p>
          <w:p w14:paraId="6E761EE0" w14:textId="695B436B"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Stanovit povinnost pravidelného reportingu center a návaznost na hodnocení center.</w:t>
            </w:r>
          </w:p>
          <w:p w14:paraId="448B7B06" w14:textId="37186AB3"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Provázat indikátory s hodnocením center VO a</w:t>
            </w:r>
            <w:r w:rsidR="00F832E5" w:rsidRPr="135080A3">
              <w:rPr>
                <w:rFonts w:ascii="Aptos" w:hAnsi="Aptos"/>
                <w:color w:val="002060"/>
                <w:lang w:val="cs-CZ"/>
              </w:rPr>
              <w:t> </w:t>
            </w:r>
            <w:r w:rsidRPr="135080A3">
              <w:rPr>
                <w:rFonts w:ascii="Aptos" w:hAnsi="Aptos"/>
                <w:color w:val="002060"/>
                <w:lang w:val="cs-CZ"/>
              </w:rPr>
              <w:t>případně s akreditačními, smluvními nebo úhradovými mechanismy.</w:t>
            </w:r>
          </w:p>
          <w:p w14:paraId="35FB7490" w14:textId="3936BBB6"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Průběžně vyhodnocovat dopad indikátorů a</w:t>
            </w:r>
            <w:r w:rsidR="00F832E5" w:rsidRPr="135080A3">
              <w:rPr>
                <w:rFonts w:ascii="Aptos" w:hAnsi="Aptos"/>
                <w:color w:val="002060"/>
                <w:lang w:val="cs-CZ"/>
              </w:rPr>
              <w:t> </w:t>
            </w:r>
            <w:r w:rsidRPr="135080A3">
              <w:rPr>
                <w:rFonts w:ascii="Aptos" w:hAnsi="Aptos"/>
                <w:color w:val="002060"/>
                <w:lang w:val="cs-CZ"/>
              </w:rPr>
              <w:t>upravovat je podle zkušeností z praxe.</w:t>
            </w:r>
          </w:p>
        </w:tc>
      </w:tr>
      <w:tr w:rsidR="00AF6770" w:rsidRPr="00F72499" w14:paraId="45A62FB7" w14:textId="77777777" w:rsidTr="135080A3">
        <w:trPr>
          <w:trHeight w:val="300"/>
          <w:jc w:val="center"/>
        </w:trPr>
        <w:tc>
          <w:tcPr>
            <w:tcW w:w="562" w:type="dxa"/>
            <w:tcBorders>
              <w:top w:val="single" w:sz="4" w:space="0" w:color="4472C4"/>
              <w:bottom w:val="single" w:sz="4" w:space="0" w:color="002060"/>
              <w:right w:val="single" w:sz="4" w:space="0" w:color="002060"/>
            </w:tcBorders>
            <w:vAlign w:val="center"/>
          </w:tcPr>
          <w:p w14:paraId="792D7B29"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t>2.1</w:t>
            </w:r>
          </w:p>
        </w:tc>
        <w:tc>
          <w:tcPr>
            <w:tcW w:w="2778" w:type="dxa"/>
            <w:tcBorders>
              <w:top w:val="single" w:sz="4" w:space="0" w:color="4472C4"/>
              <w:left w:val="single" w:sz="4" w:space="0" w:color="002060"/>
              <w:bottom w:val="single" w:sz="4" w:space="0" w:color="002060"/>
              <w:right w:val="single" w:sz="4" w:space="0" w:color="002060"/>
            </w:tcBorders>
            <w:shd w:val="clear" w:color="auto" w:fill="E6F6F1"/>
            <w:vAlign w:val="center"/>
          </w:tcPr>
          <w:p w14:paraId="60DAD020" w14:textId="0D6A0A9A"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 xml:space="preserve">Vytvoření standardů přechodové péče a provázání jejich nároků </w:t>
            </w:r>
            <w:r w:rsidRPr="00F72499">
              <w:rPr>
                <w:sz w:val="22"/>
                <w:szCs w:val="22"/>
              </w:rPr>
              <w:br/>
            </w:r>
            <w:r w:rsidRPr="00F72499">
              <w:rPr>
                <w:rFonts w:ascii="Aptos" w:hAnsi="Aptos"/>
                <w:color w:val="002060"/>
                <w:sz w:val="22"/>
                <w:szCs w:val="22"/>
              </w:rPr>
              <w:t>s úhradovými mechanismy.</w:t>
            </w:r>
          </w:p>
        </w:tc>
        <w:tc>
          <w:tcPr>
            <w:tcW w:w="5636" w:type="dxa"/>
            <w:tcBorders>
              <w:top w:val="single" w:sz="4" w:space="0" w:color="002060"/>
              <w:left w:val="single" w:sz="4" w:space="0" w:color="002060"/>
              <w:bottom w:val="single" w:sz="4" w:space="0" w:color="002060"/>
            </w:tcBorders>
          </w:tcPr>
          <w:p w14:paraId="456F3BC2"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Ukotvit přechodovou péči jako specifickou součást péče o pacienty s VO ve standardech a metodických dokumentech.</w:t>
            </w:r>
          </w:p>
          <w:p w14:paraId="57545D0A" w14:textId="5730ABAE"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Vymezit cílové skupiny a spouštěcí kritéria přechodové péče, např. věk, klinické změny nebo potřeba pacienta a rodiny.</w:t>
            </w:r>
          </w:p>
          <w:p w14:paraId="5A82211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Vytvořit standard přechodové péče včetně rolí pediatrického týmu, dospělého specialisty, sestry, koordinátora, psychologa a sociálního pracovníka.</w:t>
            </w:r>
          </w:p>
          <w:p w14:paraId="4D3D8FF5" w14:textId="3AAA7FCE"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Vytvořit klinické a organizační nástroje: přechodový souhrn, checklisty, individuální plán přechodové péče a informační materiály.</w:t>
            </w:r>
          </w:p>
          <w:p w14:paraId="4DC880D8"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Ověřit standard pilotně a identifikovat úzká místa, zejména dostupnost specialistů pro dospělé.</w:t>
            </w:r>
          </w:p>
          <w:p w14:paraId="2003CC51" w14:textId="27809E6B"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Provázat přechodovou péči s úhradovými mechanismy a navrhnout indikátory kvality přechodové péče.</w:t>
            </w:r>
          </w:p>
        </w:tc>
      </w:tr>
      <w:tr w:rsidR="00AF6770" w:rsidRPr="00F72499" w14:paraId="66FAF128"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65A560F1"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t>2.2</w:t>
            </w:r>
          </w:p>
        </w:tc>
        <w:tc>
          <w:tcPr>
            <w:tcW w:w="2778"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1484DB24" w14:textId="77777777"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Rozvoj mezinárodní odborné spolupráce prostřednictvím systému CPMS.</w:t>
            </w:r>
          </w:p>
        </w:tc>
        <w:tc>
          <w:tcPr>
            <w:tcW w:w="5636" w:type="dxa"/>
            <w:tcBorders>
              <w:top w:val="single" w:sz="4" w:space="0" w:color="002060"/>
              <w:left w:val="single" w:sz="4" w:space="0" w:color="002060"/>
              <w:bottom w:val="single" w:sz="4" w:space="0" w:color="002060"/>
            </w:tcBorders>
          </w:tcPr>
          <w:p w14:paraId="47D7A289"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Ukotvit využívání CPMS v metodikách a interních postupech CVSP-VO.</w:t>
            </w:r>
          </w:p>
          <w:p w14:paraId="36832CEC"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Jmenovat pověřené osoby pro práci s CPMS v každém centru včetně klinického odborníka a administrativní podpory.</w:t>
            </w:r>
          </w:p>
          <w:p w14:paraId="615F3AB1" w14:textId="14C0CEBD"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lastRenderedPageBreak/>
              <w:t>Proškolit odborníky v technickém ovládání CPMS, bezpečnosti, GDPR, vedení případů a komunikaci v mezinárodním prostředí.</w:t>
            </w:r>
          </w:p>
          <w:p w14:paraId="1D5B73CA"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Aktivně identifikovat případy vhodné pro mezinárodní konzultaci, zejména diagnosticky nejasné a ultra-vzácné případy.</w:t>
            </w:r>
          </w:p>
          <w:p w14:paraId="5875DDE7" w14:textId="653B1D8C"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Vytvářet kvalitní klinické podklady pro sdílení v CPMS a pravidelně komunikovat s koordinátory ERN.</w:t>
            </w:r>
          </w:p>
          <w:p w14:paraId="3CCED8BC"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Využívat CPMS také pro identifikaci témat výzkumu, mezinárodní srovnání výsledků péče a rozvoj spolupráce.</w:t>
            </w:r>
          </w:p>
        </w:tc>
      </w:tr>
      <w:tr w:rsidR="00AF6770" w:rsidRPr="00F72499" w14:paraId="68212AA5"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2F5BAC9E"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lastRenderedPageBreak/>
              <w:t>2.2</w:t>
            </w:r>
          </w:p>
        </w:tc>
        <w:tc>
          <w:tcPr>
            <w:tcW w:w="2778"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6AFA02B6" w14:textId="77777777"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Zavést funkční mechanismus pro systematické předávání výstupů Poradního orgánu pro ORPHAN léčiva příslušným profesím.</w:t>
            </w:r>
          </w:p>
        </w:tc>
        <w:tc>
          <w:tcPr>
            <w:tcW w:w="5636" w:type="dxa"/>
            <w:tcBorders>
              <w:top w:val="single" w:sz="4" w:space="0" w:color="002060"/>
              <w:left w:val="single" w:sz="4" w:space="0" w:color="002060"/>
              <w:bottom w:val="single" w:sz="4" w:space="0" w:color="002060"/>
            </w:tcBorders>
          </w:tcPr>
          <w:p w14:paraId="1446EDBE"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Vytvořit rámec pro sdílení výstupů Poradního orgánu MZD pro ORPHAN léčiva.</w:t>
            </w:r>
          </w:p>
          <w:p w14:paraId="001B3B9D" w14:textId="6F1D3C0A"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Určit cílové subjekty, komunikační kanály a</w:t>
            </w:r>
            <w:r w:rsidR="00F832E5" w:rsidRPr="135080A3">
              <w:rPr>
                <w:rFonts w:ascii="Aptos" w:hAnsi="Aptos"/>
                <w:color w:val="002060"/>
                <w:lang w:val="cs-CZ"/>
              </w:rPr>
              <w:t> </w:t>
            </w:r>
            <w:r w:rsidRPr="135080A3">
              <w:rPr>
                <w:rFonts w:ascii="Aptos" w:hAnsi="Aptos"/>
                <w:color w:val="002060"/>
                <w:lang w:val="cs-CZ"/>
              </w:rPr>
              <w:t>odpovědné osoby pro předávání informací.</w:t>
            </w:r>
          </w:p>
          <w:p w14:paraId="2FCAA23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Stanovit, které typy výstupů se mají sdílet, v jaké struktuře a frekvenci.</w:t>
            </w:r>
          </w:p>
          <w:p w14:paraId="0BBF04D0" w14:textId="443A0E75"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Vytvořit standardizovanou formu výstupu: stručné shrnutí stanoviska, klinické dopady, změny v algoritmech, bezpečnostní a úhradové aspekty.</w:t>
            </w:r>
          </w:p>
          <w:p w14:paraId="3A284AB9"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Nastavit proces zpětné vazby od odborníků a center.</w:t>
            </w:r>
          </w:p>
          <w:p w14:paraId="36C766A9"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Zajistit návaznost na existující komunikační prostředí MZD, MEKOVO a odborné společnosti.</w:t>
            </w:r>
          </w:p>
        </w:tc>
      </w:tr>
      <w:tr w:rsidR="00AF6770" w:rsidRPr="00F72499" w14:paraId="72A7E750"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241318C4" w14:textId="77777777" w:rsidR="00AF6770" w:rsidRPr="00F72499" w:rsidRDefault="00AF6770" w:rsidP="00F832E5">
            <w:pPr>
              <w:spacing w:after="0" w:line="252" w:lineRule="auto"/>
              <w:rPr>
                <w:rFonts w:ascii="Aptos" w:hAnsi="Aptos"/>
                <w:color w:val="002060"/>
                <w:sz w:val="22"/>
                <w:szCs w:val="22"/>
              </w:rPr>
            </w:pPr>
            <w:r w:rsidRPr="00F72499">
              <w:rPr>
                <w:rFonts w:ascii="Aptos" w:hAnsi="Aptos"/>
                <w:color w:val="002060"/>
                <w:sz w:val="22"/>
                <w:szCs w:val="22"/>
              </w:rPr>
              <w:t>2.2</w:t>
            </w:r>
          </w:p>
        </w:tc>
        <w:tc>
          <w:tcPr>
            <w:tcW w:w="2778"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0BA9CA28" w14:textId="2ED3C645" w:rsidR="00AF6770" w:rsidRPr="00F72499" w:rsidRDefault="00AF6770" w:rsidP="1EB33230">
            <w:pPr>
              <w:spacing w:after="0" w:line="252" w:lineRule="auto"/>
              <w:rPr>
                <w:rFonts w:ascii="Aptos" w:hAnsi="Aptos"/>
                <w:color w:val="002060"/>
                <w:sz w:val="22"/>
                <w:szCs w:val="22"/>
              </w:rPr>
            </w:pPr>
            <w:r w:rsidRPr="00F72499">
              <w:rPr>
                <w:rFonts w:ascii="Aptos" w:hAnsi="Aptos"/>
                <w:color w:val="002060"/>
                <w:sz w:val="22"/>
                <w:szCs w:val="22"/>
              </w:rPr>
              <w:t xml:space="preserve">Vyhodnocení způsobů </w:t>
            </w:r>
            <w:r w:rsidRPr="00F72499">
              <w:rPr>
                <w:sz w:val="22"/>
                <w:szCs w:val="22"/>
              </w:rPr>
              <w:br/>
            </w:r>
            <w:r w:rsidRPr="00F72499">
              <w:rPr>
                <w:rFonts w:ascii="Aptos" w:hAnsi="Aptos"/>
                <w:color w:val="002060"/>
                <w:sz w:val="22"/>
                <w:szCs w:val="22"/>
              </w:rPr>
              <w:t xml:space="preserve">a přínosů integrace telemedicíny a distanční péče do specializované péče o pacienty se VO </w:t>
            </w:r>
            <w:r w:rsidRPr="00F72499">
              <w:rPr>
                <w:sz w:val="22"/>
                <w:szCs w:val="22"/>
              </w:rPr>
              <w:br/>
            </w:r>
            <w:r w:rsidRPr="00F72499">
              <w:rPr>
                <w:rFonts w:ascii="Aptos" w:hAnsi="Aptos"/>
                <w:color w:val="002060"/>
                <w:sz w:val="22"/>
                <w:szCs w:val="22"/>
              </w:rPr>
              <w:t>a návrh způsobu implementace.</w:t>
            </w:r>
          </w:p>
        </w:tc>
        <w:tc>
          <w:tcPr>
            <w:tcW w:w="5636" w:type="dxa"/>
            <w:tcBorders>
              <w:top w:val="single" w:sz="4" w:space="0" w:color="002060"/>
              <w:left w:val="single" w:sz="4" w:space="0" w:color="002060"/>
              <w:bottom w:val="single" w:sz="4" w:space="0" w:color="002060"/>
            </w:tcBorders>
          </w:tcPr>
          <w:p w14:paraId="0BBD27CB" w14:textId="5A3E1B3F"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Vymezit rozsah hodnocení telemedicíny a distanční péče podle klinických specializací, typů služeb a cílových skupin.</w:t>
            </w:r>
          </w:p>
          <w:p w14:paraId="72AC4041" w14:textId="1F370BF9"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Zpracovat metodiku hodnocení klinické účinnosti, dostupnosti, ekonomických dopadů, přijatelnosti a právních požadavků.</w:t>
            </w:r>
          </w:p>
          <w:p w14:paraId="5529EF94" w14:textId="47E165EC"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Vyhodnotit dopad na čas do konzultace, hospitalizace, cestování pacientů, využití personálních kapacit a administrativní zátěž.</w:t>
            </w:r>
          </w:p>
          <w:p w14:paraId="44D8E53F"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Posoudit datové a bezpečnostní požadavky včetně souhlasů, auditních stop a kompatibility s NIS.</w:t>
            </w:r>
          </w:p>
          <w:p w14:paraId="4FDF6B9E" w14:textId="77777777"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Vyjasnit právní a úhradový rámec telemedicínských služeb.</w:t>
            </w:r>
          </w:p>
          <w:p w14:paraId="49305C0C" w14:textId="546037D6" w:rsidR="00AF6770" w:rsidRPr="00F72499" w:rsidRDefault="00AF6770" w:rsidP="00F832E5">
            <w:pPr>
              <w:pStyle w:val="Seznamsodrkami"/>
              <w:spacing w:before="120" w:after="120"/>
              <w:ind w:left="357" w:hanging="357"/>
              <w:rPr>
                <w:rFonts w:ascii="Aptos" w:hAnsi="Aptos"/>
                <w:color w:val="002060"/>
                <w:lang w:val="cs-CZ"/>
              </w:rPr>
            </w:pPr>
            <w:r w:rsidRPr="135080A3">
              <w:rPr>
                <w:rFonts w:ascii="Aptos" w:hAnsi="Aptos"/>
                <w:color w:val="002060"/>
                <w:lang w:val="cs-CZ"/>
              </w:rPr>
              <w:t>Navrhnout způsob implementace telemedicíny a distanční péče ve specializovaných centrech.</w:t>
            </w:r>
          </w:p>
        </w:tc>
      </w:tr>
    </w:tbl>
    <w:p w14:paraId="2E61DC47" w14:textId="77777777" w:rsidR="00873D37" w:rsidRPr="00F72499" w:rsidRDefault="00873D37">
      <w:pPr>
        <w:rPr>
          <w:rFonts w:ascii="Aptos" w:hAnsi="Aptos"/>
          <w:color w:val="002060"/>
          <w:sz w:val="22"/>
          <w:szCs w:val="22"/>
        </w:rPr>
      </w:pPr>
    </w:p>
    <w:p w14:paraId="7B4C5F24" w14:textId="77777777" w:rsidR="00873D37" w:rsidRPr="00F72499" w:rsidRDefault="00C05BF8" w:rsidP="00D35141">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16" w:name="_Toc231330687"/>
      <w:r w:rsidRPr="00F72499">
        <w:rPr>
          <w:rFonts w:ascii="Aptos" w:hAnsi="Aptos"/>
          <w:b w:val="0"/>
          <w:bCs w:val="0"/>
          <w:color w:val="002060"/>
          <w:kern w:val="2"/>
          <w:sz w:val="32"/>
          <w:szCs w:val="32"/>
          <w:lang w:val="cs-CZ"/>
          <w14:ligatures w14:val="standardContextual"/>
        </w:rPr>
        <w:t>6.2 Implementační fáze 2: 2030–2032</w:t>
      </w:r>
      <w:bookmarkEnd w:id="16"/>
    </w:p>
    <w:p w14:paraId="1939D9C4" w14:textId="1FA646E5" w:rsidR="00D35141" w:rsidRPr="00F72499" w:rsidRDefault="00D35141" w:rsidP="00D35141">
      <w:pPr>
        <w:spacing w:before="240" w:after="0" w:line="259" w:lineRule="auto"/>
        <w:rPr>
          <w:rFonts w:ascii="Aptos" w:eastAsiaTheme="minorHAnsi" w:hAnsi="Aptos"/>
          <w:b/>
          <w:bCs/>
          <w:color w:val="002060"/>
          <w:kern w:val="2"/>
          <w:sz w:val="24"/>
          <w:szCs w:val="24"/>
          <w14:ligatures w14:val="standardContextual"/>
        </w:rPr>
      </w:pPr>
      <w:r w:rsidRPr="00F72499">
        <w:rPr>
          <w:rFonts w:ascii="Aptos" w:eastAsiaTheme="minorHAnsi" w:hAnsi="Aptos"/>
          <w:b/>
          <w:bCs/>
          <w:color w:val="002060"/>
          <w:kern w:val="2"/>
          <w:sz w:val="24"/>
          <w:szCs w:val="24"/>
          <w14:ligatures w14:val="standardContextual"/>
        </w:rPr>
        <w:t>Charakter implementace v období 2027–2029</w:t>
      </w:r>
    </w:p>
    <w:p w14:paraId="3BEACFA1" w14:textId="065C2D13" w:rsidR="00873D37" w:rsidRPr="00F72499" w:rsidRDefault="00C05BF8" w:rsidP="1EB33230">
      <w:pPr>
        <w:jc w:val="both"/>
        <w:rPr>
          <w:rFonts w:ascii="Aptos" w:hAnsi="Aptos"/>
          <w:color w:val="002060"/>
          <w:sz w:val="22"/>
          <w:szCs w:val="22"/>
        </w:rPr>
      </w:pPr>
      <w:r w:rsidRPr="00F72499">
        <w:rPr>
          <w:rFonts w:ascii="Aptos" w:hAnsi="Aptos"/>
          <w:color w:val="002060"/>
          <w:sz w:val="22"/>
          <w:szCs w:val="22"/>
        </w:rPr>
        <w:t xml:space="preserve">Ve druhé implementační fázi se předpokládá rozvoj a škálování mechanismů připravených v první fázi. Těžištěm je zavedení struktury péče pro nediagnostikované pacienty, širší technologické </w:t>
      </w:r>
      <w:r w:rsidRPr="00F72499">
        <w:rPr>
          <w:rFonts w:ascii="Aptos" w:hAnsi="Aptos"/>
          <w:color w:val="002060"/>
          <w:sz w:val="22"/>
          <w:szCs w:val="22"/>
        </w:rPr>
        <w:lastRenderedPageBreak/>
        <w:t>vybavení a využívání moderních nástrojů v centrech a systematické hodnocení výsledků léčby a</w:t>
      </w:r>
      <w:r w:rsidR="00D35141" w:rsidRPr="00F72499">
        <w:rPr>
          <w:rFonts w:ascii="Aptos" w:hAnsi="Aptos"/>
          <w:color w:val="002060"/>
          <w:sz w:val="22"/>
          <w:szCs w:val="22"/>
        </w:rPr>
        <w:t> </w:t>
      </w:r>
      <w:r w:rsidRPr="00F72499">
        <w:rPr>
          <w:rFonts w:ascii="Aptos" w:hAnsi="Aptos"/>
          <w:color w:val="002060"/>
          <w:sz w:val="22"/>
          <w:szCs w:val="22"/>
        </w:rPr>
        <w:t>nákladovosti péče.</w:t>
      </w:r>
    </w:p>
    <w:p w14:paraId="3A2C2E87" w14:textId="77777777" w:rsidR="00873D37" w:rsidRPr="00F72499" w:rsidRDefault="00C05BF8" w:rsidP="00D35141">
      <w:pPr>
        <w:spacing w:after="0" w:line="259" w:lineRule="auto"/>
        <w:rPr>
          <w:rFonts w:ascii="Aptos" w:hAnsi="Aptos"/>
          <w:b/>
          <w:bCs/>
          <w:color w:val="002060"/>
          <w:sz w:val="24"/>
          <w:szCs w:val="24"/>
        </w:rPr>
      </w:pPr>
      <w:r w:rsidRPr="00F72499">
        <w:rPr>
          <w:rFonts w:ascii="Aptos" w:hAnsi="Aptos"/>
          <w:b/>
          <w:bCs/>
          <w:color w:val="002060"/>
          <w:sz w:val="24"/>
          <w:szCs w:val="24"/>
        </w:rPr>
        <w:t>Opatření a aktivity řešené v implementační fázi 2 (2030–2032)</w:t>
      </w:r>
    </w:p>
    <w:tbl>
      <w:tblPr>
        <w:tblStyle w:val="Mkatabulky"/>
        <w:tblW w:w="91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2881"/>
        <w:gridCol w:w="5693"/>
      </w:tblGrid>
      <w:tr w:rsidR="00C965BC" w:rsidRPr="00F72499" w14:paraId="6CEA97CA" w14:textId="77777777" w:rsidTr="135080A3">
        <w:trPr>
          <w:trHeight w:val="567"/>
          <w:tblHeader/>
          <w:jc w:val="center"/>
        </w:trPr>
        <w:tc>
          <w:tcPr>
            <w:tcW w:w="562" w:type="dxa"/>
            <w:tcBorders>
              <w:top w:val="single" w:sz="4" w:space="0" w:color="002060"/>
              <w:bottom w:val="single" w:sz="4" w:space="0" w:color="002060"/>
              <w:right w:val="single" w:sz="4" w:space="0" w:color="002060"/>
            </w:tcBorders>
            <w:shd w:val="clear" w:color="auto" w:fill="E6F6F1"/>
            <w:vAlign w:val="center"/>
          </w:tcPr>
          <w:p w14:paraId="7A0DC613" w14:textId="77777777" w:rsidR="00C965BC" w:rsidRPr="00F72499" w:rsidRDefault="00C965BC" w:rsidP="32AD3AAF">
            <w:pPr>
              <w:spacing w:after="0" w:line="252" w:lineRule="auto"/>
              <w:jc w:val="center"/>
              <w:rPr>
                <w:rFonts w:ascii="Aptos" w:hAnsi="Aptos"/>
                <w:b/>
                <w:bCs/>
                <w:color w:val="002060"/>
                <w:sz w:val="24"/>
                <w:szCs w:val="24"/>
              </w:rPr>
            </w:pPr>
            <w:r w:rsidRPr="00F72499">
              <w:rPr>
                <w:rFonts w:ascii="Aptos" w:hAnsi="Aptos"/>
                <w:b/>
                <w:bCs/>
                <w:color w:val="002060"/>
                <w:sz w:val="24"/>
                <w:szCs w:val="24"/>
              </w:rPr>
              <w:t>SC</w:t>
            </w:r>
          </w:p>
        </w:tc>
        <w:tc>
          <w:tcPr>
            <w:tcW w:w="2881"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7D74C17B" w14:textId="77777777" w:rsidR="00C965BC" w:rsidRPr="00F72499" w:rsidRDefault="00C965BC" w:rsidP="1EB33230">
            <w:pPr>
              <w:spacing w:after="0" w:line="252" w:lineRule="auto"/>
              <w:jc w:val="center"/>
              <w:rPr>
                <w:rFonts w:ascii="Aptos" w:hAnsi="Aptos"/>
                <w:b/>
                <w:bCs/>
                <w:color w:val="002060"/>
                <w:sz w:val="24"/>
                <w:szCs w:val="24"/>
              </w:rPr>
            </w:pPr>
            <w:r w:rsidRPr="00F72499">
              <w:rPr>
                <w:rFonts w:ascii="Aptos" w:hAnsi="Aptos"/>
                <w:b/>
                <w:bCs/>
                <w:color w:val="002060"/>
                <w:sz w:val="24"/>
                <w:szCs w:val="24"/>
              </w:rPr>
              <w:t>Opatření</w:t>
            </w:r>
          </w:p>
        </w:tc>
        <w:tc>
          <w:tcPr>
            <w:tcW w:w="5693" w:type="dxa"/>
            <w:tcBorders>
              <w:top w:val="single" w:sz="4" w:space="0" w:color="002060"/>
              <w:left w:val="single" w:sz="4" w:space="0" w:color="002060"/>
              <w:bottom w:val="single" w:sz="4" w:space="0" w:color="002060"/>
            </w:tcBorders>
            <w:shd w:val="clear" w:color="auto" w:fill="E6F6F1"/>
            <w:vAlign w:val="center"/>
          </w:tcPr>
          <w:p w14:paraId="032F922F" w14:textId="77777777" w:rsidR="00C965BC" w:rsidRPr="00F72499" w:rsidRDefault="00C965BC" w:rsidP="1EB33230">
            <w:pPr>
              <w:spacing w:after="0" w:line="252" w:lineRule="auto"/>
              <w:jc w:val="center"/>
              <w:rPr>
                <w:rFonts w:ascii="Aptos" w:hAnsi="Aptos"/>
                <w:b/>
                <w:bCs/>
                <w:color w:val="002060"/>
                <w:sz w:val="24"/>
                <w:szCs w:val="24"/>
              </w:rPr>
            </w:pPr>
            <w:r w:rsidRPr="00F72499">
              <w:rPr>
                <w:rFonts w:ascii="Aptos" w:hAnsi="Aptos"/>
                <w:b/>
                <w:bCs/>
                <w:color w:val="002060"/>
                <w:sz w:val="24"/>
                <w:szCs w:val="24"/>
              </w:rPr>
              <w:t>Navržené aktivity / dílčí kroky</w:t>
            </w:r>
          </w:p>
        </w:tc>
      </w:tr>
      <w:tr w:rsidR="00C965BC" w:rsidRPr="00F72499" w14:paraId="711AF465"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44D34B84" w14:textId="77777777" w:rsidR="00C965BC" w:rsidRPr="00F72499" w:rsidRDefault="00C965BC" w:rsidP="00D35141">
            <w:pPr>
              <w:spacing w:after="0" w:line="252" w:lineRule="auto"/>
              <w:rPr>
                <w:rFonts w:ascii="Aptos" w:hAnsi="Aptos"/>
                <w:color w:val="002060"/>
                <w:sz w:val="22"/>
                <w:szCs w:val="22"/>
              </w:rPr>
            </w:pPr>
            <w:r w:rsidRPr="00F72499">
              <w:rPr>
                <w:rFonts w:ascii="Aptos" w:hAnsi="Aptos"/>
                <w:color w:val="002060"/>
                <w:sz w:val="22"/>
                <w:szCs w:val="22"/>
              </w:rPr>
              <w:t>2.1</w:t>
            </w:r>
          </w:p>
        </w:tc>
        <w:tc>
          <w:tcPr>
            <w:tcW w:w="2881"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7904F22C" w14:textId="25A7AE75" w:rsidR="00C965BC" w:rsidRPr="00F72499" w:rsidRDefault="00C965BC" w:rsidP="1EB33230">
            <w:pPr>
              <w:spacing w:after="0" w:line="252" w:lineRule="auto"/>
              <w:rPr>
                <w:rFonts w:ascii="Aptos" w:hAnsi="Aptos"/>
                <w:color w:val="002060"/>
                <w:sz w:val="22"/>
                <w:szCs w:val="22"/>
              </w:rPr>
            </w:pPr>
            <w:r w:rsidRPr="00F72499">
              <w:rPr>
                <w:rFonts w:ascii="Aptos" w:hAnsi="Aptos"/>
                <w:color w:val="002060"/>
                <w:sz w:val="22"/>
                <w:szCs w:val="22"/>
              </w:rPr>
              <w:t>Vytvoření struktury pro zajištění péče o pacienty s</w:t>
            </w:r>
            <w:r w:rsidR="00D35141" w:rsidRPr="00F72499">
              <w:rPr>
                <w:rFonts w:ascii="Aptos" w:hAnsi="Aptos"/>
                <w:color w:val="002060"/>
                <w:sz w:val="22"/>
                <w:szCs w:val="22"/>
              </w:rPr>
              <w:t> </w:t>
            </w:r>
            <w:r w:rsidRPr="00F72499">
              <w:rPr>
                <w:rFonts w:ascii="Aptos" w:hAnsi="Aptos"/>
                <w:color w:val="002060"/>
                <w:sz w:val="22"/>
                <w:szCs w:val="22"/>
              </w:rPr>
              <w:t>nediagnostikovanými a ultra-vzácnými onemocněními.</w:t>
            </w:r>
          </w:p>
        </w:tc>
        <w:tc>
          <w:tcPr>
            <w:tcW w:w="5693" w:type="dxa"/>
            <w:tcBorders>
              <w:top w:val="single" w:sz="4" w:space="0" w:color="002060"/>
              <w:left w:val="single" w:sz="4" w:space="0" w:color="002060"/>
              <w:bottom w:val="single" w:sz="4" w:space="0" w:color="002060"/>
            </w:tcBorders>
          </w:tcPr>
          <w:p w14:paraId="4DCB7F6A"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Revidovat návrhy obsažené v obecném standardu SYPOVO a zohlednit doporučení JARDIN.</w:t>
            </w:r>
          </w:p>
          <w:p w14:paraId="12E3E20C"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Vymezit model péče pro pacienty bez diagnózy včetně cílové skupiny, vstupních kritérií a triáže.</w:t>
            </w:r>
          </w:p>
          <w:p w14:paraId="4B63A659"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Nastavit vstupní bránu do systému a formální označení statusu pacienta bez diagnózy.</w:t>
            </w:r>
          </w:p>
          <w:p w14:paraId="48F182D1"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Vytvořit pravidla komunikace s pacientem a rodinou při vstupu do režimu bez diagnózy.</w:t>
            </w:r>
          </w:p>
          <w:p w14:paraId="743467A3"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Vyjasnit klinický management, koordinaci a sociální podporu pacienta bez diagnózy.</w:t>
            </w:r>
          </w:p>
          <w:p w14:paraId="1978BEA5"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Připravit minimální standard péče pro nediagnostikované pacienty.</w:t>
            </w:r>
          </w:p>
        </w:tc>
      </w:tr>
      <w:tr w:rsidR="00C965BC" w:rsidRPr="00F72499" w14:paraId="445A3DC8" w14:textId="77777777" w:rsidTr="135080A3">
        <w:trPr>
          <w:trHeight w:val="300"/>
          <w:jc w:val="center"/>
        </w:trPr>
        <w:tc>
          <w:tcPr>
            <w:tcW w:w="562" w:type="dxa"/>
            <w:tcBorders>
              <w:top w:val="single" w:sz="4" w:space="0" w:color="002060"/>
              <w:right w:val="single" w:sz="4" w:space="0" w:color="002060"/>
            </w:tcBorders>
            <w:vAlign w:val="center"/>
          </w:tcPr>
          <w:p w14:paraId="5ED8925B" w14:textId="77777777" w:rsidR="00C965BC" w:rsidRPr="00F72499" w:rsidRDefault="00C965BC" w:rsidP="00D35141">
            <w:pPr>
              <w:spacing w:after="0" w:line="252" w:lineRule="auto"/>
              <w:rPr>
                <w:rFonts w:ascii="Aptos" w:hAnsi="Aptos"/>
                <w:color w:val="002060"/>
                <w:sz w:val="22"/>
                <w:szCs w:val="22"/>
              </w:rPr>
            </w:pPr>
            <w:r w:rsidRPr="00F72499">
              <w:rPr>
                <w:rFonts w:ascii="Aptos" w:hAnsi="Aptos"/>
                <w:color w:val="002060"/>
                <w:sz w:val="22"/>
                <w:szCs w:val="22"/>
              </w:rPr>
              <w:t>2.2</w:t>
            </w:r>
          </w:p>
        </w:tc>
        <w:tc>
          <w:tcPr>
            <w:tcW w:w="2881" w:type="dxa"/>
            <w:tcBorders>
              <w:top w:val="single" w:sz="4" w:space="0" w:color="002060"/>
              <w:left w:val="single" w:sz="4" w:space="0" w:color="002060"/>
              <w:right w:val="single" w:sz="4" w:space="0" w:color="002060"/>
            </w:tcBorders>
            <w:shd w:val="clear" w:color="auto" w:fill="E6F6F1"/>
            <w:vAlign w:val="center"/>
          </w:tcPr>
          <w:p w14:paraId="3573A5FE" w14:textId="75E17AC8" w:rsidR="00C965BC" w:rsidRPr="00F72499" w:rsidRDefault="00C965BC" w:rsidP="1EB33230">
            <w:pPr>
              <w:spacing w:after="0" w:line="252" w:lineRule="auto"/>
              <w:rPr>
                <w:rFonts w:ascii="Aptos" w:hAnsi="Aptos"/>
                <w:color w:val="002060"/>
                <w:sz w:val="22"/>
                <w:szCs w:val="22"/>
              </w:rPr>
            </w:pPr>
            <w:r w:rsidRPr="00F72499">
              <w:rPr>
                <w:rFonts w:ascii="Aptos" w:hAnsi="Aptos"/>
                <w:color w:val="002060"/>
                <w:sz w:val="22"/>
                <w:szCs w:val="22"/>
              </w:rPr>
              <w:t>CVSP-VO jsou vybavena moderními technologiemi pro diagnostiku, léčbu, monitoraci a management péče o pacienty s VO.</w:t>
            </w:r>
          </w:p>
        </w:tc>
        <w:tc>
          <w:tcPr>
            <w:tcW w:w="5693" w:type="dxa"/>
            <w:tcBorders>
              <w:top w:val="single" w:sz="4" w:space="0" w:color="002060"/>
              <w:left w:val="single" w:sz="4" w:space="0" w:color="002060"/>
            </w:tcBorders>
          </w:tcPr>
          <w:p w14:paraId="30B3E18F" w14:textId="103F046D"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Provést posouzení technologických potřeb center VO v diagnostice, laboratorních metodách, zobrazovacích metodách, terapii a digitálním managementu péče.</w:t>
            </w:r>
          </w:p>
          <w:p w14:paraId="7FE0EE15"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Identifikovat kritické mezery v technickém, personálním a kapacitním vybavení.</w:t>
            </w:r>
          </w:p>
          <w:p w14:paraId="731A923D" w14:textId="1D0325E4"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Zavést moderní digitální a telemedicínské nástroje pro plánování péče, sdílení dokumentace, MDT porady a monitorování pacientů.</w:t>
            </w:r>
          </w:p>
          <w:p w14:paraId="5D691CAE" w14:textId="280F702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Integrovat nové technologie do klinických procesů a diagnostických algoritmů.</w:t>
            </w:r>
          </w:p>
          <w:p w14:paraId="247E160E" w14:textId="1D7801EA"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Zajistit školení personálu, bezpečnostní protokoly a kompatibilitu s nemocničními IT systémy.</w:t>
            </w:r>
          </w:p>
          <w:p w14:paraId="1420DE92"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Připravit finanční plán investic a obnovy technologií.</w:t>
            </w:r>
          </w:p>
        </w:tc>
      </w:tr>
      <w:tr w:rsidR="00C965BC" w:rsidRPr="00F72499" w14:paraId="5A78D4CD" w14:textId="77777777" w:rsidTr="135080A3">
        <w:trPr>
          <w:trHeight w:val="300"/>
          <w:jc w:val="center"/>
        </w:trPr>
        <w:tc>
          <w:tcPr>
            <w:tcW w:w="562" w:type="dxa"/>
            <w:tcBorders>
              <w:top w:val="single" w:sz="4" w:space="0" w:color="002060"/>
              <w:bottom w:val="single" w:sz="4" w:space="0" w:color="002060"/>
              <w:right w:val="single" w:sz="4" w:space="0" w:color="002060"/>
            </w:tcBorders>
            <w:vAlign w:val="center"/>
          </w:tcPr>
          <w:p w14:paraId="2315F94B" w14:textId="77777777" w:rsidR="00C965BC" w:rsidRPr="00F72499" w:rsidRDefault="00C965BC" w:rsidP="00D35141">
            <w:pPr>
              <w:spacing w:after="0" w:line="252" w:lineRule="auto"/>
              <w:rPr>
                <w:rFonts w:ascii="Aptos" w:hAnsi="Aptos"/>
                <w:color w:val="002060"/>
                <w:sz w:val="22"/>
                <w:szCs w:val="22"/>
              </w:rPr>
            </w:pPr>
            <w:r w:rsidRPr="00F72499">
              <w:rPr>
                <w:rFonts w:ascii="Aptos" w:hAnsi="Aptos"/>
                <w:color w:val="002060"/>
                <w:sz w:val="22"/>
                <w:szCs w:val="22"/>
              </w:rPr>
              <w:t>2.2</w:t>
            </w:r>
          </w:p>
        </w:tc>
        <w:tc>
          <w:tcPr>
            <w:tcW w:w="2881" w:type="dxa"/>
            <w:tcBorders>
              <w:top w:val="single" w:sz="4" w:space="0" w:color="002060"/>
              <w:left w:val="single" w:sz="4" w:space="0" w:color="002060"/>
              <w:bottom w:val="single" w:sz="4" w:space="0" w:color="002060"/>
              <w:right w:val="single" w:sz="4" w:space="0" w:color="002060"/>
            </w:tcBorders>
            <w:shd w:val="clear" w:color="auto" w:fill="E6F6F1"/>
            <w:vAlign w:val="center"/>
          </w:tcPr>
          <w:p w14:paraId="1D096979" w14:textId="337003C8" w:rsidR="00C965BC" w:rsidRPr="00F72499" w:rsidRDefault="00C965BC" w:rsidP="1EB33230">
            <w:pPr>
              <w:spacing w:after="0" w:line="252" w:lineRule="auto"/>
              <w:rPr>
                <w:rFonts w:ascii="Aptos" w:hAnsi="Aptos"/>
                <w:color w:val="002060"/>
                <w:sz w:val="22"/>
                <w:szCs w:val="22"/>
              </w:rPr>
            </w:pPr>
            <w:r w:rsidRPr="00F72499">
              <w:rPr>
                <w:rFonts w:ascii="Aptos" w:hAnsi="Aptos"/>
                <w:color w:val="002060"/>
                <w:sz w:val="22"/>
                <w:szCs w:val="22"/>
              </w:rPr>
              <w:t>Multidisciplinární systematické hodnocení centralizovaných dat a</w:t>
            </w:r>
            <w:r w:rsidR="00D35141" w:rsidRPr="00F72499">
              <w:rPr>
                <w:rFonts w:ascii="Aptos" w:hAnsi="Aptos"/>
                <w:color w:val="002060"/>
                <w:sz w:val="22"/>
                <w:szCs w:val="22"/>
              </w:rPr>
              <w:t> </w:t>
            </w:r>
            <w:r w:rsidRPr="00F72499">
              <w:rPr>
                <w:rFonts w:ascii="Aptos" w:hAnsi="Aptos"/>
                <w:color w:val="002060"/>
                <w:sz w:val="22"/>
                <w:szCs w:val="22"/>
              </w:rPr>
              <w:t>výsledků léčebných postupů za účelem optimalizace úhrad specializované péče.</w:t>
            </w:r>
          </w:p>
        </w:tc>
        <w:tc>
          <w:tcPr>
            <w:tcW w:w="5693" w:type="dxa"/>
            <w:tcBorders>
              <w:top w:val="single" w:sz="4" w:space="0" w:color="002060"/>
              <w:left w:val="single" w:sz="4" w:space="0" w:color="002060"/>
              <w:bottom w:val="single" w:sz="4" w:space="0" w:color="002060"/>
            </w:tcBorders>
          </w:tcPr>
          <w:p w14:paraId="0D1FF56A"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Vymezit datové zdroje a rozsah hodnocení výsledků léčebných postupů.</w:t>
            </w:r>
          </w:p>
          <w:p w14:paraId="1E16AEAA"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Nastavit spolupráci klinických odborníků, analytiků, HTA expertů, plátců péče a regulatorních aktérů.</w:t>
            </w:r>
          </w:p>
          <w:p w14:paraId="67376A5A"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Vyhodnocovat klinickou účinnost, bezpečnost, nákladovost a organizační dopady vybraných postupů.</w:t>
            </w:r>
          </w:p>
          <w:p w14:paraId="53F7DA2F"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Posoudit administrativní náročnost individuálních žádostí a možnost jejího zjednodušení.</w:t>
            </w:r>
          </w:p>
          <w:p w14:paraId="667A0E98"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Připravit návrhy na úpravu úhradových mechanismů specializované péče reflektující technologický rozvoj.</w:t>
            </w:r>
          </w:p>
          <w:p w14:paraId="738ECF08" w14:textId="77777777" w:rsidR="00C965BC" w:rsidRPr="00F72499" w:rsidRDefault="00C965BC" w:rsidP="00D35141">
            <w:pPr>
              <w:pStyle w:val="Seznamsodrkami"/>
              <w:spacing w:before="120" w:after="120"/>
              <w:ind w:left="357" w:hanging="357"/>
              <w:rPr>
                <w:rFonts w:ascii="Aptos" w:hAnsi="Aptos"/>
                <w:color w:val="002060"/>
                <w:lang w:val="cs-CZ"/>
              </w:rPr>
            </w:pPr>
            <w:r w:rsidRPr="135080A3">
              <w:rPr>
                <w:rFonts w:ascii="Aptos" w:hAnsi="Aptos"/>
                <w:color w:val="002060"/>
                <w:lang w:val="cs-CZ"/>
              </w:rPr>
              <w:t>Zajistit vazbu na indikátory kvality a datovou infrastrukturu.</w:t>
            </w:r>
          </w:p>
        </w:tc>
      </w:tr>
    </w:tbl>
    <w:p w14:paraId="6888B45B" w14:textId="77777777" w:rsidR="00873D37" w:rsidRPr="00F72499" w:rsidRDefault="00873D37">
      <w:pPr>
        <w:rPr>
          <w:rFonts w:ascii="Aptos" w:hAnsi="Aptos"/>
          <w:color w:val="002060"/>
          <w:sz w:val="22"/>
          <w:szCs w:val="22"/>
        </w:rPr>
      </w:pPr>
    </w:p>
    <w:p w14:paraId="5F7BF8E0" w14:textId="77777777" w:rsidR="00873D37" w:rsidRPr="00F72499" w:rsidRDefault="00C05BF8" w:rsidP="00F72499">
      <w:pPr>
        <w:pStyle w:val="Nadpis2"/>
        <w:spacing w:before="160" w:after="80" w:line="259" w:lineRule="auto"/>
        <w:ind w:left="576" w:hanging="576"/>
        <w:rPr>
          <w:rFonts w:ascii="Aptos" w:hAnsi="Aptos"/>
          <w:b w:val="0"/>
          <w:bCs w:val="0"/>
          <w:color w:val="002060"/>
          <w:kern w:val="2"/>
          <w:sz w:val="32"/>
          <w:szCs w:val="32"/>
          <w:lang w:val="cs-CZ"/>
          <w14:ligatures w14:val="standardContextual"/>
        </w:rPr>
      </w:pPr>
      <w:bookmarkStart w:id="17" w:name="_Toc231330688"/>
      <w:r w:rsidRPr="00F72499">
        <w:rPr>
          <w:rFonts w:ascii="Aptos" w:hAnsi="Aptos"/>
          <w:b w:val="0"/>
          <w:bCs w:val="0"/>
          <w:color w:val="002060"/>
          <w:kern w:val="2"/>
          <w:sz w:val="32"/>
          <w:szCs w:val="32"/>
          <w:lang w:val="cs-CZ"/>
          <w14:ligatures w14:val="standardContextual"/>
        </w:rPr>
        <w:lastRenderedPageBreak/>
        <w:t>6.3 Implementační fáze 3: 2033–2035</w:t>
      </w:r>
      <w:bookmarkEnd w:id="17"/>
    </w:p>
    <w:p w14:paraId="4B9B2C0D" w14:textId="77777777" w:rsidR="00003B62" w:rsidRPr="00F72499" w:rsidRDefault="00003B62" w:rsidP="00F72499">
      <w:pPr>
        <w:spacing w:before="240" w:after="0"/>
        <w:rPr>
          <w:rFonts w:ascii="Aptos" w:hAnsi="Aptos"/>
          <w:b/>
          <w:bCs/>
          <w:color w:val="002060"/>
          <w:sz w:val="24"/>
          <w:szCs w:val="24"/>
        </w:rPr>
      </w:pPr>
      <w:r w:rsidRPr="00F72499">
        <w:rPr>
          <w:rFonts w:ascii="Aptos" w:hAnsi="Aptos"/>
          <w:b/>
          <w:bCs/>
          <w:color w:val="002060"/>
          <w:sz w:val="24"/>
          <w:szCs w:val="24"/>
        </w:rPr>
        <w:t>Charakter implementace v období 2033–2035</w:t>
      </w:r>
    </w:p>
    <w:p w14:paraId="0595E353" w14:textId="6292EF91" w:rsidR="00873D37" w:rsidRPr="00F72499" w:rsidRDefault="00C05BF8" w:rsidP="00003B62">
      <w:pPr>
        <w:jc w:val="both"/>
        <w:rPr>
          <w:rFonts w:ascii="Aptos" w:hAnsi="Aptos"/>
          <w:color w:val="002060"/>
          <w:sz w:val="22"/>
          <w:szCs w:val="22"/>
        </w:rPr>
      </w:pPr>
      <w:r w:rsidRPr="00F72499">
        <w:rPr>
          <w:rFonts w:ascii="Aptos" w:hAnsi="Aptos"/>
          <w:color w:val="002060"/>
          <w:sz w:val="22"/>
          <w:szCs w:val="22"/>
        </w:rPr>
        <w:t>Třetí implementační fáze je zaměřena na stabilizaci zavedených mechanismů, vyhodnocení jejich dopadů a</w:t>
      </w:r>
      <w:r w:rsidR="00577EDD" w:rsidRPr="00F72499">
        <w:rPr>
          <w:rFonts w:ascii="Aptos" w:hAnsi="Aptos"/>
          <w:color w:val="002060"/>
          <w:sz w:val="22"/>
          <w:szCs w:val="22"/>
        </w:rPr>
        <w:t> </w:t>
      </w:r>
      <w:r w:rsidRPr="00F72499">
        <w:rPr>
          <w:rFonts w:ascii="Aptos" w:hAnsi="Aptos"/>
          <w:color w:val="002060"/>
          <w:sz w:val="22"/>
          <w:szCs w:val="22"/>
        </w:rPr>
        <w:t>další rozvoj podle výsledků monitoringu a evaluace. V této fázi se předpokládá aktualizace standardů péče, revize indikátorů, vyhodnocení efektivity sítě a technologického vybavení center a příprava dalšího rozvoje po skončení období NSVO.</w:t>
      </w:r>
    </w:p>
    <w:p w14:paraId="50D23A87" w14:textId="1E3CFDE1" w:rsidR="00F72499" w:rsidRPr="00F72499" w:rsidRDefault="734E1AF8" w:rsidP="00F72499">
      <w:pPr>
        <w:pStyle w:val="Nadpis1"/>
        <w:numPr>
          <w:ilvl w:val="0"/>
          <w:numId w:val="8"/>
        </w:numPr>
        <w:spacing w:before="360" w:after="80" w:line="259" w:lineRule="auto"/>
        <w:ind w:left="432" w:hanging="432"/>
        <w:rPr>
          <w:rFonts w:ascii="Aptos" w:hAnsi="Aptos"/>
          <w:b w:val="0"/>
          <w:bCs w:val="0"/>
          <w:color w:val="002060"/>
          <w:kern w:val="2"/>
          <w:sz w:val="40"/>
          <w:szCs w:val="40"/>
          <w:lang w:val="cs-CZ"/>
          <w14:ligatures w14:val="standardContextual"/>
        </w:rPr>
      </w:pPr>
      <w:bookmarkStart w:id="18" w:name="_Toc231330689"/>
      <w:r w:rsidRPr="00F72499">
        <w:rPr>
          <w:rFonts w:ascii="Aptos" w:hAnsi="Aptos"/>
          <w:b w:val="0"/>
          <w:bCs w:val="0"/>
          <w:color w:val="002060"/>
          <w:kern w:val="2"/>
          <w:sz w:val="40"/>
          <w:szCs w:val="40"/>
          <w:lang w:val="cs-CZ"/>
          <w14:ligatures w14:val="standardContextual"/>
        </w:rPr>
        <w:t>Indikátory</w:t>
      </w:r>
      <w:bookmarkEnd w:id="18"/>
    </w:p>
    <w:p w14:paraId="6BC32B29" w14:textId="77777777" w:rsidR="00F72499" w:rsidRDefault="00F72499" w:rsidP="00F72499">
      <w:pPr>
        <w:spacing w:after="160"/>
        <w:jc w:val="both"/>
        <w:rPr>
          <w:rFonts w:ascii="Aptos" w:eastAsiaTheme="minorHAnsi" w:hAnsi="Aptos"/>
          <w:color w:val="002060"/>
          <w:kern w:val="2"/>
          <w:sz w:val="22"/>
          <w:szCs w:val="22"/>
          <w14:ligatures w14:val="standardContextual"/>
        </w:rPr>
      </w:pPr>
      <w:r w:rsidRPr="135080A3">
        <w:rPr>
          <w:rFonts w:ascii="Aptos" w:eastAsiaTheme="minorEastAsia" w:hAnsi="Aptos"/>
          <w:color w:val="002060"/>
          <w:kern w:val="2"/>
          <w:sz w:val="22"/>
          <w:szCs w:val="22"/>
          <w14:ligatures w14:val="standardContextual"/>
        </w:rPr>
        <w:t>Navržené indikátory představují nástroj pro průběžné monitorování implementace specifického cíle IP3 a v současné době nejsou považovány za finální či neměnné. Jejich podoba bude dále rozvíjena a zpřesňována v návaznosti na postup implementace strategie, dostupnost dat, vývoj informačních systémů a zejména na lepší zmapování výchozího stavu v oblasti koordinované zdravotně-sociální péče o pacienty s VO. V průběhu realizace NSVO proto může docházet k úpravám, doplnění nebo redefinici jednotlivých indikátorů tak, aby co nejlépe reflektovaly reálné možnosti sběru dat, potřeby praxe i skutečný dopad realizovaných opatření. Současně se předpokládá postupné upřesňování jednotlivých ukazatelů i nastavení cílových hodnot.</w:t>
      </w:r>
    </w:p>
    <w:p w14:paraId="5F7B8002" w14:textId="60E28FC7" w:rsidR="00181FBC" w:rsidRPr="00F72499" w:rsidRDefault="4D452B27" w:rsidP="135080A3">
      <w:pPr>
        <w:spacing w:after="0"/>
        <w:jc w:val="both"/>
        <w:rPr>
          <w:rFonts w:ascii="Aptos" w:eastAsia="Aptos" w:hAnsi="Aptos" w:cs="Aptos"/>
          <w:color w:val="002060"/>
          <w:sz w:val="22"/>
          <w:szCs w:val="22"/>
        </w:rPr>
      </w:pPr>
      <w:r w:rsidRPr="135080A3">
        <w:rPr>
          <w:rFonts w:ascii="Aptos" w:eastAsia="Aptos" w:hAnsi="Aptos" w:cs="Aptos"/>
          <w:color w:val="002060"/>
          <w:sz w:val="22"/>
          <w:szCs w:val="22"/>
        </w:rPr>
        <w:t>Ke každému indikátoru budou definovány:</w:t>
      </w:r>
    </w:p>
    <w:p w14:paraId="320D9226" w14:textId="07218E44" w:rsidR="00181FBC" w:rsidRPr="00F72499" w:rsidRDefault="4D452B27" w:rsidP="135080A3">
      <w:pPr>
        <w:pStyle w:val="Odstavecseseznamem"/>
        <w:numPr>
          <w:ilvl w:val="0"/>
          <w:numId w:val="4"/>
        </w:numPr>
        <w:spacing w:after="160"/>
        <w:jc w:val="both"/>
        <w:rPr>
          <w:rFonts w:ascii="Aptos" w:eastAsia="Aptos" w:hAnsi="Aptos" w:cs="Aptos"/>
          <w:color w:val="002060"/>
          <w:lang w:val="cs-CZ"/>
        </w:rPr>
      </w:pPr>
      <w:r w:rsidRPr="135080A3">
        <w:rPr>
          <w:rFonts w:ascii="Aptos" w:eastAsia="Aptos" w:hAnsi="Aptos" w:cs="Aptos"/>
          <w:color w:val="002060"/>
          <w:lang w:val="cs-CZ"/>
        </w:rPr>
        <w:t>výchozí hodnota,</w:t>
      </w:r>
    </w:p>
    <w:p w14:paraId="39A5990A" w14:textId="01BE149E" w:rsidR="00181FBC" w:rsidRPr="00F72499" w:rsidRDefault="4D452B27" w:rsidP="135080A3">
      <w:pPr>
        <w:pStyle w:val="Odstavecseseznamem"/>
        <w:numPr>
          <w:ilvl w:val="0"/>
          <w:numId w:val="4"/>
        </w:numPr>
        <w:spacing w:after="160"/>
        <w:jc w:val="both"/>
        <w:rPr>
          <w:rFonts w:ascii="Aptos" w:eastAsia="Aptos" w:hAnsi="Aptos" w:cs="Aptos"/>
          <w:color w:val="002060"/>
          <w:lang w:val="cs-CZ"/>
        </w:rPr>
      </w:pPr>
      <w:r w:rsidRPr="135080A3">
        <w:rPr>
          <w:rFonts w:ascii="Aptos" w:eastAsia="Aptos" w:hAnsi="Aptos" w:cs="Aptos"/>
          <w:color w:val="002060"/>
          <w:lang w:val="cs-CZ"/>
        </w:rPr>
        <w:t>cílová hodnota,</w:t>
      </w:r>
    </w:p>
    <w:p w14:paraId="1206AA93" w14:textId="29C0223F" w:rsidR="00181FBC" w:rsidRPr="00F72499" w:rsidRDefault="4D452B27" w:rsidP="135080A3">
      <w:pPr>
        <w:pStyle w:val="Odstavecseseznamem"/>
        <w:numPr>
          <w:ilvl w:val="0"/>
          <w:numId w:val="4"/>
        </w:numPr>
        <w:spacing w:after="160"/>
        <w:jc w:val="both"/>
        <w:rPr>
          <w:rFonts w:ascii="Aptos" w:eastAsia="Aptos" w:hAnsi="Aptos" w:cs="Aptos"/>
          <w:color w:val="002060"/>
          <w:lang w:val="cs-CZ"/>
        </w:rPr>
      </w:pPr>
      <w:r w:rsidRPr="135080A3">
        <w:rPr>
          <w:rFonts w:ascii="Aptos" w:eastAsia="Aptos" w:hAnsi="Aptos" w:cs="Aptos"/>
          <w:color w:val="002060"/>
          <w:lang w:val="cs-CZ"/>
        </w:rPr>
        <w:t>časový rámec,</w:t>
      </w:r>
    </w:p>
    <w:p w14:paraId="11FD6A50" w14:textId="2E406099" w:rsidR="00181FBC" w:rsidRPr="00F72499" w:rsidRDefault="4D452B27" w:rsidP="135080A3">
      <w:pPr>
        <w:pStyle w:val="Odstavecseseznamem"/>
        <w:numPr>
          <w:ilvl w:val="0"/>
          <w:numId w:val="4"/>
        </w:numPr>
        <w:spacing w:after="160"/>
        <w:jc w:val="both"/>
        <w:rPr>
          <w:rFonts w:ascii="Aptos" w:eastAsia="Aptos" w:hAnsi="Aptos" w:cs="Aptos"/>
          <w:color w:val="002060"/>
          <w:lang w:val="cs-CZ"/>
        </w:rPr>
      </w:pPr>
      <w:r w:rsidRPr="135080A3">
        <w:rPr>
          <w:rFonts w:ascii="Aptos" w:eastAsia="Aptos" w:hAnsi="Aptos" w:cs="Aptos"/>
          <w:color w:val="002060"/>
          <w:lang w:val="cs-CZ"/>
        </w:rPr>
        <w:t>zdroj dat,</w:t>
      </w:r>
    </w:p>
    <w:p w14:paraId="44E24A59" w14:textId="2B7ABD38" w:rsidR="00181FBC" w:rsidRPr="00F72499" w:rsidRDefault="4D452B27" w:rsidP="135080A3">
      <w:pPr>
        <w:pStyle w:val="Odstavecseseznamem"/>
        <w:numPr>
          <w:ilvl w:val="0"/>
          <w:numId w:val="4"/>
        </w:numPr>
        <w:spacing w:after="160"/>
        <w:jc w:val="both"/>
        <w:rPr>
          <w:rFonts w:ascii="Aptos" w:eastAsia="Aptos" w:hAnsi="Aptos" w:cs="Aptos"/>
          <w:color w:val="002060"/>
          <w:lang w:val="cs-CZ"/>
        </w:rPr>
      </w:pPr>
      <w:r w:rsidRPr="135080A3">
        <w:rPr>
          <w:rFonts w:ascii="Aptos" w:eastAsia="Aptos" w:hAnsi="Aptos" w:cs="Aptos"/>
          <w:color w:val="002060"/>
          <w:lang w:val="cs-CZ"/>
        </w:rPr>
        <w:t>odpovědný subjekt,</w:t>
      </w:r>
    </w:p>
    <w:p w14:paraId="20ED37B3" w14:textId="225B7216" w:rsidR="00181FBC" w:rsidRPr="00F72499" w:rsidRDefault="4D452B27" w:rsidP="135080A3">
      <w:pPr>
        <w:pStyle w:val="Odstavecseseznamem"/>
        <w:numPr>
          <w:ilvl w:val="0"/>
          <w:numId w:val="4"/>
        </w:numPr>
        <w:spacing w:after="160"/>
        <w:jc w:val="both"/>
        <w:rPr>
          <w:rFonts w:ascii="Aptos" w:eastAsia="Aptos" w:hAnsi="Aptos" w:cs="Aptos"/>
          <w:color w:val="002060"/>
          <w:lang w:val="cs-CZ"/>
        </w:rPr>
      </w:pPr>
      <w:r w:rsidRPr="135080A3">
        <w:rPr>
          <w:rFonts w:ascii="Aptos" w:eastAsia="Aptos" w:hAnsi="Aptos" w:cs="Aptos"/>
          <w:color w:val="002060"/>
          <w:lang w:val="cs-CZ"/>
        </w:rPr>
        <w:t>frekvence vyhodnocování.</w:t>
      </w:r>
    </w:p>
    <w:p w14:paraId="74EEB498" w14:textId="0C6A929F" w:rsidR="00181FBC" w:rsidRPr="00F72499" w:rsidRDefault="4D452B27" w:rsidP="135080A3">
      <w:pPr>
        <w:spacing w:after="0"/>
        <w:jc w:val="both"/>
        <w:rPr>
          <w:rFonts w:ascii="Aptos" w:eastAsia="Aptos" w:hAnsi="Aptos" w:cs="Aptos"/>
          <w:color w:val="002060"/>
          <w:sz w:val="22"/>
          <w:szCs w:val="22"/>
        </w:rPr>
      </w:pPr>
      <w:r w:rsidRPr="135080A3">
        <w:rPr>
          <w:rFonts w:ascii="Aptos" w:eastAsia="Aptos" w:hAnsi="Aptos" w:cs="Aptos"/>
          <w:color w:val="002060"/>
          <w:sz w:val="22"/>
          <w:szCs w:val="22"/>
        </w:rPr>
        <w:t>Indikátory jsou strukturovány jako:</w:t>
      </w:r>
    </w:p>
    <w:p w14:paraId="470D33A0" w14:textId="7C9432F3" w:rsidR="00181FBC" w:rsidRPr="00F72499" w:rsidRDefault="4D452B27" w:rsidP="135080A3">
      <w:pPr>
        <w:pStyle w:val="Odstavecseseznamem"/>
        <w:numPr>
          <w:ilvl w:val="0"/>
          <w:numId w:val="3"/>
        </w:numPr>
        <w:spacing w:after="160"/>
        <w:jc w:val="both"/>
        <w:rPr>
          <w:rFonts w:ascii="Aptos" w:eastAsia="Aptos" w:hAnsi="Aptos" w:cs="Aptos"/>
          <w:color w:val="002060"/>
          <w:lang w:val="cs-CZ"/>
        </w:rPr>
      </w:pPr>
      <w:r w:rsidRPr="135080A3">
        <w:rPr>
          <w:rFonts w:ascii="Aptos" w:eastAsia="Aptos" w:hAnsi="Aptos" w:cs="Aptos"/>
          <w:color w:val="002060"/>
          <w:lang w:val="cs-CZ"/>
        </w:rPr>
        <w:t>výstupové indikátory,</w:t>
      </w:r>
    </w:p>
    <w:p w14:paraId="14C3B910" w14:textId="76FEDC42" w:rsidR="00181FBC" w:rsidRPr="00F72499" w:rsidRDefault="4D452B27" w:rsidP="135080A3">
      <w:pPr>
        <w:pStyle w:val="Odstavecseseznamem"/>
        <w:numPr>
          <w:ilvl w:val="0"/>
          <w:numId w:val="3"/>
        </w:numPr>
        <w:spacing w:after="160"/>
        <w:jc w:val="both"/>
        <w:rPr>
          <w:rFonts w:ascii="Aptos" w:eastAsia="Aptos" w:hAnsi="Aptos" w:cs="Aptos"/>
          <w:color w:val="002060"/>
          <w:lang w:val="cs-CZ"/>
        </w:rPr>
      </w:pPr>
      <w:r w:rsidRPr="135080A3">
        <w:rPr>
          <w:rFonts w:ascii="Aptos" w:eastAsia="Aptos" w:hAnsi="Aptos" w:cs="Aptos"/>
          <w:color w:val="002060"/>
          <w:lang w:val="cs-CZ"/>
        </w:rPr>
        <w:t>výsledkové indikátory,</w:t>
      </w:r>
    </w:p>
    <w:p w14:paraId="43446EAB" w14:textId="6E74C43E" w:rsidR="00181FBC" w:rsidRPr="00F72499" w:rsidRDefault="4D452B27" w:rsidP="135080A3">
      <w:pPr>
        <w:pStyle w:val="Odstavecseseznamem"/>
        <w:numPr>
          <w:ilvl w:val="0"/>
          <w:numId w:val="3"/>
        </w:numPr>
        <w:spacing w:after="160"/>
        <w:jc w:val="both"/>
        <w:rPr>
          <w:rFonts w:ascii="Aptos" w:eastAsia="Aptos" w:hAnsi="Aptos" w:cs="Aptos"/>
          <w:color w:val="002060"/>
          <w:lang w:val="cs-CZ"/>
        </w:rPr>
      </w:pPr>
      <w:r w:rsidRPr="135080A3">
        <w:rPr>
          <w:rFonts w:ascii="Aptos" w:eastAsia="Aptos" w:hAnsi="Aptos" w:cs="Aptos"/>
          <w:color w:val="002060"/>
          <w:lang w:val="cs-CZ"/>
        </w:rPr>
        <w:t>dopadové indikátory.</w:t>
      </w:r>
    </w:p>
    <w:p w14:paraId="6E7DB458" w14:textId="3FC391C6" w:rsidR="00181FBC" w:rsidRPr="00F72499" w:rsidRDefault="4D452B27" w:rsidP="135080A3">
      <w:pPr>
        <w:spacing w:after="160"/>
        <w:jc w:val="both"/>
        <w:rPr>
          <w:rFonts w:ascii="Aptos" w:eastAsia="Aptos" w:hAnsi="Aptos" w:cs="Aptos"/>
          <w:color w:val="002060"/>
          <w:sz w:val="22"/>
          <w:szCs w:val="22"/>
        </w:rPr>
      </w:pPr>
      <w:r w:rsidRPr="135080A3">
        <w:rPr>
          <w:rFonts w:ascii="Aptos" w:eastAsia="Aptos" w:hAnsi="Aptos" w:cs="Aptos"/>
          <w:color w:val="002060"/>
          <w:sz w:val="22"/>
          <w:szCs w:val="22"/>
        </w:rPr>
        <w:t>Systém indikátorů je pravidelně vyhodnocován a aktualizován.</w:t>
      </w:r>
    </w:p>
    <w:p w14:paraId="44B85689" w14:textId="0FE98644" w:rsidR="00181FBC" w:rsidRPr="00F72499" w:rsidRDefault="4D452B27" w:rsidP="135080A3">
      <w:pPr>
        <w:spacing w:after="160"/>
        <w:jc w:val="both"/>
        <w:rPr>
          <w:rFonts w:ascii="Aptos" w:eastAsiaTheme="minorEastAsia" w:hAnsi="Aptos"/>
          <w:b/>
          <w:bCs/>
          <w:color w:val="002060"/>
          <w:kern w:val="2"/>
          <w:sz w:val="22"/>
          <w:szCs w:val="22"/>
          <w14:ligatures w14:val="standardContextual"/>
        </w:rPr>
      </w:pPr>
      <w:r w:rsidRPr="135080A3">
        <w:rPr>
          <w:rFonts w:ascii="Aptos" w:eastAsiaTheme="minorEastAsia" w:hAnsi="Aptos"/>
          <w:b/>
          <w:bCs/>
          <w:color w:val="002060"/>
          <w:sz w:val="22"/>
          <w:szCs w:val="22"/>
        </w:rPr>
        <w:t>Seznam indikátorů</w:t>
      </w:r>
    </w:p>
    <w:tbl>
      <w:tblPr>
        <w:tblStyle w:val="Mkatabulky"/>
        <w:tblW w:w="8926" w:type="dxa"/>
        <w:jc w:val="center"/>
        <w:tblBorders>
          <w:top w:val="none" w:sz="0" w:space="0" w:color="auto"/>
          <w:left w:val="none" w:sz="0" w:space="0" w:color="auto"/>
          <w:bottom w:val="single" w:sz="4" w:space="0" w:color="002060"/>
          <w:right w:val="none" w:sz="0" w:space="0" w:color="auto"/>
          <w:insideH w:val="none" w:sz="0" w:space="0" w:color="auto"/>
          <w:insideV w:val="none" w:sz="0" w:space="0" w:color="auto"/>
        </w:tblBorders>
        <w:tblLook w:val="04A0" w:firstRow="1" w:lastRow="0" w:firstColumn="1" w:lastColumn="0" w:noHBand="0" w:noVBand="1"/>
      </w:tblPr>
      <w:tblGrid>
        <w:gridCol w:w="1203"/>
        <w:gridCol w:w="7723"/>
      </w:tblGrid>
      <w:tr w:rsidR="00F72499" w:rsidRPr="00F72499" w14:paraId="7807E6E6" w14:textId="77777777" w:rsidTr="605A4121">
        <w:trPr>
          <w:trHeight w:val="454"/>
          <w:jc w:val="center"/>
        </w:trPr>
        <w:tc>
          <w:tcPr>
            <w:tcW w:w="1203" w:type="dxa"/>
            <w:tcBorders>
              <w:top w:val="single" w:sz="4" w:space="0" w:color="002060"/>
              <w:bottom w:val="single" w:sz="4" w:space="0" w:color="002060"/>
              <w:right w:val="single" w:sz="4" w:space="0" w:color="002060"/>
            </w:tcBorders>
            <w:shd w:val="clear" w:color="auto" w:fill="E6F6F1"/>
            <w:vAlign w:val="center"/>
          </w:tcPr>
          <w:p w14:paraId="6973987C" w14:textId="297C4FCE" w:rsidR="00F72499" w:rsidRPr="00F72499" w:rsidRDefault="00F72499" w:rsidP="00C965BC">
            <w:pPr>
              <w:spacing w:after="0" w:line="252" w:lineRule="auto"/>
              <w:jc w:val="center"/>
              <w:rPr>
                <w:rFonts w:ascii="Aptos" w:hAnsi="Aptos"/>
                <w:b/>
                <w:bCs/>
                <w:color w:val="002060"/>
                <w:sz w:val="24"/>
                <w:szCs w:val="24"/>
              </w:rPr>
            </w:pPr>
            <w:r w:rsidRPr="00F72499">
              <w:rPr>
                <w:rFonts w:ascii="Aptos" w:hAnsi="Aptos"/>
                <w:b/>
                <w:bCs/>
                <w:color w:val="002060"/>
                <w:sz w:val="24"/>
                <w:szCs w:val="24"/>
              </w:rPr>
              <w:t>Indikátor</w:t>
            </w:r>
          </w:p>
        </w:tc>
        <w:tc>
          <w:tcPr>
            <w:tcW w:w="7723" w:type="dxa"/>
            <w:tcBorders>
              <w:top w:val="single" w:sz="4" w:space="0" w:color="002060"/>
              <w:left w:val="single" w:sz="4" w:space="0" w:color="002060"/>
              <w:bottom w:val="single" w:sz="4" w:space="0" w:color="002060"/>
            </w:tcBorders>
            <w:shd w:val="clear" w:color="auto" w:fill="E6F6F1"/>
            <w:vAlign w:val="center"/>
          </w:tcPr>
          <w:p w14:paraId="7418D5A1" w14:textId="7F99962E" w:rsidR="00F72499" w:rsidRPr="00F72499" w:rsidRDefault="00F72499" w:rsidP="00C965BC">
            <w:pPr>
              <w:spacing w:after="0" w:line="252" w:lineRule="auto"/>
              <w:jc w:val="center"/>
              <w:rPr>
                <w:sz w:val="24"/>
                <w:szCs w:val="24"/>
              </w:rPr>
            </w:pPr>
            <w:r w:rsidRPr="00F72499">
              <w:rPr>
                <w:rFonts w:ascii="Aptos" w:hAnsi="Aptos"/>
                <w:b/>
                <w:bCs/>
                <w:color w:val="002060"/>
                <w:sz w:val="24"/>
                <w:szCs w:val="24"/>
              </w:rPr>
              <w:t>Popis indikátoru</w:t>
            </w:r>
          </w:p>
        </w:tc>
      </w:tr>
      <w:tr w:rsidR="00F72499" w:rsidRPr="00F72499" w14:paraId="58654B9B"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35495F2A" w14:textId="77645142"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1.</w:t>
            </w:r>
          </w:p>
        </w:tc>
        <w:tc>
          <w:tcPr>
            <w:tcW w:w="7723" w:type="dxa"/>
            <w:tcBorders>
              <w:top w:val="single" w:sz="4" w:space="0" w:color="002060"/>
              <w:left w:val="single" w:sz="4" w:space="0" w:color="002060"/>
              <w:bottom w:val="single" w:sz="4" w:space="0" w:color="002060"/>
            </w:tcBorders>
            <w:vAlign w:val="center"/>
          </w:tcPr>
          <w:p w14:paraId="4AC918A2" w14:textId="039FA80C" w:rsidR="00F72499" w:rsidRPr="00F72499" w:rsidRDefault="00F72499" w:rsidP="00F72499">
            <w:pPr>
              <w:spacing w:before="60" w:after="60" w:line="252" w:lineRule="auto"/>
              <w:rPr>
                <w:rFonts w:ascii="Aptos" w:hAnsi="Aptos"/>
                <w:color w:val="002060"/>
                <w:sz w:val="22"/>
                <w:szCs w:val="22"/>
              </w:rPr>
            </w:pPr>
            <w:r w:rsidRPr="00F72499">
              <w:rPr>
                <w:rFonts w:ascii="Aptos" w:hAnsi="Aptos"/>
                <w:color w:val="002060"/>
                <w:sz w:val="22"/>
                <w:szCs w:val="22"/>
              </w:rPr>
              <w:t>Počet nových pacientů doporučených poskytovatelům zdravotní péče ERN s diagnózou onemocnění v oblasti působnosti ERN</w:t>
            </w:r>
          </w:p>
        </w:tc>
      </w:tr>
      <w:tr w:rsidR="00F72499" w:rsidRPr="00F72499" w14:paraId="7E46E9B5"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039491A7" w14:textId="3301DC18"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2.</w:t>
            </w:r>
          </w:p>
        </w:tc>
        <w:tc>
          <w:tcPr>
            <w:tcW w:w="7723" w:type="dxa"/>
            <w:tcBorders>
              <w:top w:val="single" w:sz="4" w:space="0" w:color="002060"/>
              <w:left w:val="single" w:sz="4" w:space="0" w:color="002060"/>
              <w:bottom w:val="single" w:sz="4" w:space="0" w:color="002060"/>
            </w:tcBorders>
            <w:vAlign w:val="center"/>
          </w:tcPr>
          <w:p w14:paraId="580C4C98" w14:textId="7DC7FDE5" w:rsidR="00F72499" w:rsidRPr="00F72499" w:rsidRDefault="00F72499" w:rsidP="00F72499">
            <w:pPr>
              <w:spacing w:before="60" w:after="60" w:line="252" w:lineRule="auto"/>
              <w:rPr>
                <w:rFonts w:ascii="Aptos" w:hAnsi="Aptos"/>
                <w:color w:val="002060"/>
                <w:sz w:val="22"/>
                <w:szCs w:val="22"/>
              </w:rPr>
            </w:pPr>
            <w:r w:rsidRPr="00F72499">
              <w:rPr>
                <w:rFonts w:ascii="Aptos" w:hAnsi="Aptos"/>
                <w:color w:val="002060"/>
                <w:sz w:val="22"/>
                <w:szCs w:val="22"/>
              </w:rPr>
              <w:t>Počet pacientů zapsaných/projednaných v CPMS za rok</w:t>
            </w:r>
          </w:p>
        </w:tc>
      </w:tr>
      <w:tr w:rsidR="00F72499" w:rsidRPr="00F72499" w14:paraId="65D78ACE" w14:textId="77777777" w:rsidTr="605A4121">
        <w:trPr>
          <w:trHeight w:val="300"/>
          <w:jc w:val="center"/>
        </w:trPr>
        <w:tc>
          <w:tcPr>
            <w:tcW w:w="1203" w:type="dxa"/>
            <w:tcBorders>
              <w:top w:val="single" w:sz="4" w:space="0" w:color="002060"/>
              <w:right w:val="single" w:sz="4" w:space="0" w:color="002060"/>
            </w:tcBorders>
            <w:vAlign w:val="center"/>
          </w:tcPr>
          <w:p w14:paraId="52A96199" w14:textId="668ECB2E"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3.</w:t>
            </w:r>
          </w:p>
        </w:tc>
        <w:tc>
          <w:tcPr>
            <w:tcW w:w="7723" w:type="dxa"/>
            <w:tcBorders>
              <w:top w:val="single" w:sz="4" w:space="0" w:color="002060"/>
              <w:left w:val="single" w:sz="4" w:space="0" w:color="002060"/>
            </w:tcBorders>
            <w:vAlign w:val="center"/>
          </w:tcPr>
          <w:p w14:paraId="6F461A85" w14:textId="35E76994" w:rsidR="00F72499" w:rsidRPr="00F72499" w:rsidRDefault="00F72499" w:rsidP="00F72499">
            <w:pPr>
              <w:spacing w:before="60" w:after="60" w:line="252" w:lineRule="auto"/>
              <w:rPr>
                <w:rFonts w:ascii="Aptos" w:hAnsi="Aptos"/>
                <w:color w:val="002060"/>
                <w:sz w:val="22"/>
                <w:szCs w:val="22"/>
              </w:rPr>
            </w:pPr>
            <w:r w:rsidRPr="00F72499">
              <w:rPr>
                <w:rFonts w:ascii="Aptos" w:hAnsi="Aptos"/>
                <w:color w:val="002060"/>
                <w:sz w:val="22"/>
                <w:szCs w:val="22"/>
              </w:rPr>
              <w:t>Podíl CVSP-VO a dalších zapojených pracovišť, která používají ORPHA kódy podle jednotné metodiky</w:t>
            </w:r>
          </w:p>
        </w:tc>
      </w:tr>
      <w:tr w:rsidR="00F72499" w:rsidRPr="00F72499" w14:paraId="59FA5045"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08627078" w14:textId="5274EA3A"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4.</w:t>
            </w:r>
          </w:p>
        </w:tc>
        <w:tc>
          <w:tcPr>
            <w:tcW w:w="7723" w:type="dxa"/>
            <w:tcBorders>
              <w:top w:val="single" w:sz="4" w:space="0" w:color="002060"/>
              <w:left w:val="single" w:sz="4" w:space="0" w:color="002060"/>
              <w:bottom w:val="single" w:sz="4" w:space="0" w:color="002060"/>
            </w:tcBorders>
            <w:vAlign w:val="center"/>
          </w:tcPr>
          <w:p w14:paraId="33941BEA" w14:textId="66E11863" w:rsidR="00F72499" w:rsidRPr="00F72499" w:rsidRDefault="605A4121" w:rsidP="00F72499">
            <w:pPr>
              <w:spacing w:before="60" w:after="60" w:line="252" w:lineRule="auto"/>
              <w:rPr>
                <w:rFonts w:ascii="Aptos" w:hAnsi="Aptos"/>
                <w:color w:val="002060"/>
                <w:sz w:val="22"/>
                <w:szCs w:val="22"/>
              </w:rPr>
            </w:pPr>
            <w:r w:rsidRPr="605A4121">
              <w:rPr>
                <w:rFonts w:ascii="Aptos" w:hAnsi="Aptos"/>
                <w:color w:val="002060"/>
                <w:sz w:val="22"/>
                <w:szCs w:val="22"/>
              </w:rPr>
              <w:t>Podíl pacientů z celkového počtu nových pacientů/rok/centrum, kteří byli zadáni do Národního registru VO </w:t>
            </w:r>
          </w:p>
        </w:tc>
      </w:tr>
      <w:tr w:rsidR="00F72499" w:rsidRPr="00F72499" w14:paraId="514CC3A0"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0D8DDC6E" w14:textId="5FAB6E7C"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lastRenderedPageBreak/>
              <w:t>5.</w:t>
            </w:r>
          </w:p>
        </w:tc>
        <w:tc>
          <w:tcPr>
            <w:tcW w:w="7723" w:type="dxa"/>
            <w:tcBorders>
              <w:top w:val="single" w:sz="4" w:space="0" w:color="002060"/>
              <w:left w:val="single" w:sz="4" w:space="0" w:color="002060"/>
              <w:bottom w:val="single" w:sz="4" w:space="0" w:color="002060"/>
            </w:tcBorders>
            <w:vAlign w:val="center"/>
          </w:tcPr>
          <w:p w14:paraId="1A115B9D" w14:textId="77AD42F3" w:rsidR="00F72499" w:rsidRPr="00F72499" w:rsidRDefault="605A4121" w:rsidP="00F72499">
            <w:pPr>
              <w:spacing w:before="60" w:after="60" w:line="252" w:lineRule="auto"/>
              <w:rPr>
                <w:rFonts w:ascii="Aptos" w:hAnsi="Aptos"/>
                <w:color w:val="002060"/>
                <w:sz w:val="22"/>
                <w:szCs w:val="22"/>
              </w:rPr>
            </w:pPr>
            <w:r w:rsidRPr="605A4121">
              <w:rPr>
                <w:rFonts w:ascii="Aptos" w:hAnsi="Aptos"/>
                <w:color w:val="002060"/>
                <w:sz w:val="22"/>
                <w:szCs w:val="22"/>
              </w:rPr>
              <w:t>Počet ERN/skupin VO, pro které je schválen model víceúrovňové/sdílené péče nebo vzorová care pathway</w:t>
            </w:r>
          </w:p>
        </w:tc>
      </w:tr>
      <w:tr w:rsidR="00F72499" w:rsidRPr="00F72499" w14:paraId="52E752BE"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5FC677C0" w14:textId="434D70E9"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6.</w:t>
            </w:r>
          </w:p>
        </w:tc>
        <w:tc>
          <w:tcPr>
            <w:tcW w:w="7723" w:type="dxa"/>
            <w:tcBorders>
              <w:top w:val="single" w:sz="4" w:space="0" w:color="002060"/>
              <w:left w:val="single" w:sz="4" w:space="0" w:color="002060"/>
              <w:bottom w:val="single" w:sz="4" w:space="0" w:color="002060"/>
            </w:tcBorders>
            <w:vAlign w:val="center"/>
          </w:tcPr>
          <w:p w14:paraId="7F68CD1E" w14:textId="1ACB1A0E" w:rsidR="00F72499" w:rsidRPr="00F72499" w:rsidRDefault="605A4121" w:rsidP="00F72499">
            <w:pPr>
              <w:spacing w:before="60" w:after="60" w:line="252" w:lineRule="auto"/>
              <w:rPr>
                <w:rFonts w:ascii="Aptos" w:hAnsi="Aptos"/>
                <w:color w:val="002060"/>
                <w:sz w:val="22"/>
                <w:szCs w:val="22"/>
              </w:rPr>
            </w:pPr>
            <w:r w:rsidRPr="605A4121">
              <w:rPr>
                <w:rFonts w:ascii="Aptos" w:hAnsi="Aptos"/>
                <w:color w:val="002060"/>
                <w:sz w:val="22"/>
                <w:szCs w:val="22"/>
              </w:rPr>
              <w:t>Počet CVSP-VO s dostupným technologickým zázemím a metodikou pro realizaci telemedicínských konzultací</w:t>
            </w:r>
          </w:p>
        </w:tc>
      </w:tr>
      <w:tr w:rsidR="00F72499" w:rsidRPr="00F72499" w14:paraId="0FB5AC44"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39E4EB63" w14:textId="2AF203E2"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7.</w:t>
            </w:r>
          </w:p>
        </w:tc>
        <w:tc>
          <w:tcPr>
            <w:tcW w:w="7723" w:type="dxa"/>
            <w:tcBorders>
              <w:top w:val="single" w:sz="4" w:space="0" w:color="002060"/>
              <w:left w:val="single" w:sz="4" w:space="0" w:color="002060"/>
              <w:bottom w:val="single" w:sz="4" w:space="0" w:color="002060"/>
            </w:tcBorders>
            <w:vAlign w:val="center"/>
          </w:tcPr>
          <w:p w14:paraId="168BF2AB" w14:textId="654B2415" w:rsidR="00F72499" w:rsidRPr="00F72499" w:rsidRDefault="605A4121" w:rsidP="00F72499">
            <w:pPr>
              <w:spacing w:before="60" w:after="60" w:line="252" w:lineRule="auto"/>
              <w:rPr>
                <w:rFonts w:ascii="Aptos" w:hAnsi="Aptos"/>
                <w:color w:val="002060"/>
                <w:sz w:val="22"/>
                <w:szCs w:val="22"/>
              </w:rPr>
            </w:pPr>
            <w:r w:rsidRPr="605A4121">
              <w:rPr>
                <w:rFonts w:ascii="Aptos" w:hAnsi="Aptos"/>
                <w:color w:val="002060"/>
                <w:sz w:val="22"/>
                <w:szCs w:val="22"/>
              </w:rPr>
              <w:t>Definovaná minimální datová sada pro HTA/RWE hodnocení u VO</w:t>
            </w:r>
          </w:p>
        </w:tc>
      </w:tr>
      <w:tr w:rsidR="00F72499" w:rsidRPr="00F72499" w14:paraId="641A0401"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1B71C173" w14:textId="2ED0D8E4"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8.</w:t>
            </w:r>
          </w:p>
        </w:tc>
        <w:tc>
          <w:tcPr>
            <w:tcW w:w="7723" w:type="dxa"/>
            <w:tcBorders>
              <w:top w:val="single" w:sz="4" w:space="0" w:color="002060"/>
              <w:left w:val="single" w:sz="4" w:space="0" w:color="002060"/>
              <w:bottom w:val="single" w:sz="4" w:space="0" w:color="002060"/>
            </w:tcBorders>
            <w:vAlign w:val="center"/>
          </w:tcPr>
          <w:p w14:paraId="20B37ECA" w14:textId="78F36F07" w:rsidR="00F72499" w:rsidRPr="00F72499" w:rsidRDefault="605A4121" w:rsidP="605A4121">
            <w:pPr>
              <w:spacing w:before="60" w:after="60" w:line="252" w:lineRule="auto"/>
              <w:rPr>
                <w:rFonts w:ascii="Aptos" w:hAnsi="Aptos"/>
                <w:color w:val="002060"/>
                <w:sz w:val="22"/>
                <w:szCs w:val="22"/>
              </w:rPr>
            </w:pPr>
            <w:r w:rsidRPr="605A4121">
              <w:rPr>
                <w:rFonts w:ascii="Aptos" w:hAnsi="Aptos"/>
                <w:color w:val="002060"/>
                <w:sz w:val="22"/>
                <w:szCs w:val="22"/>
              </w:rPr>
              <w:t>Počet dokončených HTA/RWE hodnocení pro vybraný postup, technologii nebo skupinu VO</w:t>
            </w:r>
          </w:p>
        </w:tc>
      </w:tr>
      <w:tr w:rsidR="00F72499" w:rsidRPr="00F72499" w14:paraId="34B2D01C"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33A25CEA" w14:textId="0DF11894"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9.</w:t>
            </w:r>
          </w:p>
        </w:tc>
        <w:tc>
          <w:tcPr>
            <w:tcW w:w="7723" w:type="dxa"/>
            <w:tcBorders>
              <w:top w:val="single" w:sz="4" w:space="0" w:color="002060"/>
              <w:left w:val="single" w:sz="4" w:space="0" w:color="002060"/>
              <w:bottom w:val="single" w:sz="4" w:space="0" w:color="002060"/>
            </w:tcBorders>
            <w:vAlign w:val="center"/>
          </w:tcPr>
          <w:p w14:paraId="1735C2D9" w14:textId="29EA886E" w:rsidR="00F72499" w:rsidRPr="00F72499" w:rsidRDefault="605A4121" w:rsidP="00F72499">
            <w:pPr>
              <w:spacing w:before="60" w:after="60" w:line="252" w:lineRule="auto"/>
              <w:rPr>
                <w:rFonts w:ascii="Aptos" w:hAnsi="Aptos"/>
                <w:color w:val="002060"/>
                <w:sz w:val="22"/>
                <w:szCs w:val="22"/>
              </w:rPr>
            </w:pPr>
            <w:r w:rsidRPr="605A4121">
              <w:rPr>
                <w:rFonts w:ascii="Aptos" w:hAnsi="Aptos"/>
                <w:color w:val="002060"/>
                <w:sz w:val="22"/>
                <w:szCs w:val="22"/>
              </w:rPr>
              <w:t>Schválená metodika telemedicínské/distanční konzultace pro CVSP-VO včetně indikací vhodných a nevhodných situací</w:t>
            </w:r>
          </w:p>
        </w:tc>
      </w:tr>
      <w:tr w:rsidR="00F72499" w:rsidRPr="00F72499" w14:paraId="29D0AAAA"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413AF616" w14:textId="73BF8AF7"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10.</w:t>
            </w:r>
          </w:p>
        </w:tc>
        <w:tc>
          <w:tcPr>
            <w:tcW w:w="7723" w:type="dxa"/>
            <w:tcBorders>
              <w:top w:val="single" w:sz="4" w:space="0" w:color="002060"/>
              <w:left w:val="single" w:sz="4" w:space="0" w:color="002060"/>
              <w:bottom w:val="single" w:sz="4" w:space="0" w:color="002060"/>
            </w:tcBorders>
            <w:vAlign w:val="center"/>
          </w:tcPr>
          <w:p w14:paraId="6C5E6858" w14:textId="03B5CE3D" w:rsidR="00F72499" w:rsidRPr="00F72499" w:rsidRDefault="605A4121" w:rsidP="00F72499">
            <w:pPr>
              <w:spacing w:before="60" w:after="60" w:line="252" w:lineRule="auto"/>
              <w:rPr>
                <w:rFonts w:ascii="Aptos" w:hAnsi="Aptos"/>
                <w:color w:val="002060"/>
                <w:sz w:val="22"/>
                <w:szCs w:val="22"/>
              </w:rPr>
            </w:pPr>
            <w:r w:rsidRPr="605A4121">
              <w:rPr>
                <w:rFonts w:ascii="Aptos" w:hAnsi="Aptos"/>
                <w:color w:val="002060"/>
                <w:sz w:val="22"/>
                <w:szCs w:val="22"/>
              </w:rPr>
              <w:t>Podíl CVSP-VO, která poskytují telemedicínské konzultace podle schválené metodiky</w:t>
            </w:r>
          </w:p>
        </w:tc>
      </w:tr>
      <w:tr w:rsidR="00F72499" w:rsidRPr="00F72499" w14:paraId="3484FF83"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6CDD61AA" w14:textId="38CAE0A7"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11.</w:t>
            </w:r>
          </w:p>
        </w:tc>
        <w:tc>
          <w:tcPr>
            <w:tcW w:w="7723" w:type="dxa"/>
            <w:tcBorders>
              <w:top w:val="single" w:sz="4" w:space="0" w:color="002060"/>
              <w:left w:val="single" w:sz="4" w:space="0" w:color="002060"/>
              <w:bottom w:val="single" w:sz="4" w:space="0" w:color="002060"/>
            </w:tcBorders>
            <w:vAlign w:val="center"/>
          </w:tcPr>
          <w:p w14:paraId="2CDFDE6E" w14:textId="26D5E478" w:rsidR="605A4121" w:rsidRDefault="605A4121" w:rsidP="605A4121">
            <w:pPr>
              <w:spacing w:before="60" w:after="60" w:line="252" w:lineRule="auto"/>
              <w:rPr>
                <w:rFonts w:ascii="Aptos" w:hAnsi="Aptos"/>
                <w:color w:val="002060"/>
                <w:sz w:val="22"/>
                <w:szCs w:val="22"/>
              </w:rPr>
            </w:pPr>
            <w:r w:rsidRPr="605A4121">
              <w:rPr>
                <w:rFonts w:ascii="Aptos" w:hAnsi="Aptos"/>
                <w:color w:val="002060"/>
                <w:sz w:val="22"/>
                <w:szCs w:val="22"/>
              </w:rPr>
              <w:t>Počet pacientů konzultovaných Pracovní skupinou pro nediagnostikovaná VO </w:t>
            </w:r>
          </w:p>
        </w:tc>
      </w:tr>
      <w:tr w:rsidR="00F72499" w:rsidRPr="00F72499" w14:paraId="15C0C8EB" w14:textId="77777777" w:rsidTr="605A4121">
        <w:trPr>
          <w:trHeight w:val="300"/>
          <w:jc w:val="center"/>
        </w:trPr>
        <w:tc>
          <w:tcPr>
            <w:tcW w:w="1203" w:type="dxa"/>
            <w:tcBorders>
              <w:top w:val="single" w:sz="4" w:space="0" w:color="002060"/>
              <w:bottom w:val="single" w:sz="4" w:space="0" w:color="002060"/>
              <w:right w:val="single" w:sz="4" w:space="0" w:color="002060"/>
            </w:tcBorders>
            <w:vAlign w:val="center"/>
          </w:tcPr>
          <w:p w14:paraId="5B551AAE" w14:textId="5199C318" w:rsidR="00F72499" w:rsidRPr="00F72499" w:rsidRDefault="00F72499" w:rsidP="32AD3AAF">
            <w:pPr>
              <w:spacing w:after="0" w:line="252" w:lineRule="auto"/>
              <w:jc w:val="center"/>
              <w:rPr>
                <w:rFonts w:ascii="Aptos" w:hAnsi="Aptos"/>
                <w:color w:val="002060"/>
                <w:sz w:val="22"/>
                <w:szCs w:val="22"/>
              </w:rPr>
            </w:pPr>
            <w:r w:rsidRPr="00F72499">
              <w:rPr>
                <w:rFonts w:ascii="Aptos" w:hAnsi="Aptos"/>
                <w:color w:val="002060"/>
                <w:sz w:val="22"/>
                <w:szCs w:val="22"/>
              </w:rPr>
              <w:t>12.</w:t>
            </w:r>
          </w:p>
        </w:tc>
        <w:tc>
          <w:tcPr>
            <w:tcW w:w="7723" w:type="dxa"/>
            <w:tcBorders>
              <w:top w:val="single" w:sz="4" w:space="0" w:color="002060"/>
              <w:left w:val="single" w:sz="4" w:space="0" w:color="002060"/>
              <w:bottom w:val="single" w:sz="4" w:space="0" w:color="002060"/>
            </w:tcBorders>
            <w:vAlign w:val="center"/>
          </w:tcPr>
          <w:p w14:paraId="3E54DA3E" w14:textId="1E2D44A3" w:rsidR="605A4121" w:rsidRDefault="605A4121" w:rsidP="605A4121">
            <w:pPr>
              <w:spacing w:before="60" w:after="60" w:line="252" w:lineRule="auto"/>
              <w:rPr>
                <w:rFonts w:ascii="Aptos" w:hAnsi="Aptos"/>
                <w:color w:val="002060"/>
                <w:sz w:val="22"/>
                <w:szCs w:val="22"/>
              </w:rPr>
            </w:pPr>
            <w:r w:rsidRPr="605A4121">
              <w:rPr>
                <w:rFonts w:ascii="Aptos" w:hAnsi="Aptos"/>
                <w:color w:val="002060"/>
                <w:sz w:val="22"/>
                <w:szCs w:val="22"/>
              </w:rPr>
              <w:t>Podíl dětí s dokumentovaným plánem přechodové péče do 17 let věku (%)</w:t>
            </w:r>
          </w:p>
        </w:tc>
      </w:tr>
    </w:tbl>
    <w:p w14:paraId="500FAD14" w14:textId="663A585D" w:rsidR="605A4121" w:rsidRDefault="605A4121"/>
    <w:p w14:paraId="1AC46AC0" w14:textId="3C1EB0EA" w:rsidR="1EB33230" w:rsidRPr="00F72499" w:rsidRDefault="1EB33230"/>
    <w:p w14:paraId="4FEF784C" w14:textId="7B4C3637" w:rsidR="1EB33230" w:rsidRPr="00003B62" w:rsidRDefault="14BDED44" w:rsidP="135080A3">
      <w:pPr>
        <w:pStyle w:val="Nadpis1"/>
        <w:numPr>
          <w:ilvl w:val="0"/>
          <w:numId w:val="8"/>
        </w:numPr>
        <w:spacing w:before="360" w:after="80" w:line="259" w:lineRule="auto"/>
        <w:ind w:left="432" w:hanging="432"/>
        <w:rPr>
          <w:rFonts w:ascii="Aptos" w:hAnsi="Aptos"/>
          <w:b w:val="0"/>
          <w:bCs w:val="0"/>
          <w:color w:val="002060"/>
          <w:sz w:val="40"/>
          <w:szCs w:val="40"/>
          <w:lang w:val="cs-CZ"/>
        </w:rPr>
      </w:pPr>
      <w:r w:rsidRPr="135080A3">
        <w:rPr>
          <w:rFonts w:ascii="Aptos" w:hAnsi="Aptos"/>
          <w:b w:val="0"/>
          <w:bCs w:val="0"/>
          <w:color w:val="002060"/>
          <w:sz w:val="40"/>
          <w:szCs w:val="40"/>
          <w:lang w:val="cs-CZ"/>
        </w:rPr>
        <w:t>Financování implementace</w:t>
      </w:r>
    </w:p>
    <w:p w14:paraId="71EF41D2" w14:textId="79371E95" w:rsidR="1EB33230" w:rsidRPr="00003B62" w:rsidRDefault="14BDED44" w:rsidP="135080A3">
      <w:pPr>
        <w:rPr>
          <w:rFonts w:asciiTheme="minorHAnsi" w:eastAsiaTheme="minorEastAsia" w:hAnsiTheme="minorHAnsi"/>
          <w:color w:val="002060"/>
          <w:sz w:val="22"/>
          <w:szCs w:val="22"/>
        </w:rPr>
      </w:pPr>
      <w:r w:rsidRPr="135080A3">
        <w:rPr>
          <w:rFonts w:asciiTheme="minorHAnsi" w:eastAsiaTheme="minorEastAsia" w:hAnsiTheme="minorHAnsi"/>
          <w:color w:val="002060"/>
          <w:sz w:val="22"/>
          <w:szCs w:val="22"/>
        </w:rPr>
        <w:t>Realizace IP1 je podmíněna dostupností finančních zdrojů. Rámec financování bude zahrnovat:</w:t>
      </w:r>
    </w:p>
    <w:p w14:paraId="7B548015" w14:textId="6EA3C017" w:rsidR="1EB33230" w:rsidRPr="00003B62" w:rsidRDefault="14BDED44" w:rsidP="135080A3">
      <w:pPr>
        <w:pStyle w:val="Odstavecseseznamem"/>
        <w:numPr>
          <w:ilvl w:val="0"/>
          <w:numId w:val="1"/>
        </w:numPr>
        <w:rPr>
          <w:color w:val="002060"/>
          <w:lang w:val="cs-CZ"/>
        </w:rPr>
      </w:pPr>
      <w:r w:rsidRPr="135080A3">
        <w:rPr>
          <w:color w:val="002060"/>
          <w:lang w:val="cs-CZ"/>
        </w:rPr>
        <w:t>identifikaci relevantních zdrojů (státní rozpočet, evropské fondy, další veřejné zdroje),</w:t>
      </w:r>
    </w:p>
    <w:p w14:paraId="6F2986D3" w14:textId="2A9B4BD3" w:rsidR="1EB33230" w:rsidRPr="00003B62" w:rsidRDefault="14BDED44" w:rsidP="135080A3">
      <w:pPr>
        <w:pStyle w:val="Odstavecseseznamem"/>
        <w:numPr>
          <w:ilvl w:val="0"/>
          <w:numId w:val="1"/>
        </w:numPr>
        <w:rPr>
          <w:color w:val="002060"/>
          <w:lang w:val="cs-CZ"/>
        </w:rPr>
      </w:pPr>
      <w:r w:rsidRPr="135080A3">
        <w:rPr>
          <w:color w:val="002060"/>
          <w:lang w:val="cs-CZ"/>
        </w:rPr>
        <w:t>orientační odhad nákladů klíčových aktivit,</w:t>
      </w:r>
    </w:p>
    <w:p w14:paraId="1ACB8253" w14:textId="7A38BA71" w:rsidR="1EB33230" w:rsidRPr="00003B62" w:rsidRDefault="14BDED44" w:rsidP="135080A3">
      <w:pPr>
        <w:pStyle w:val="Odstavecseseznamem"/>
        <w:numPr>
          <w:ilvl w:val="0"/>
          <w:numId w:val="1"/>
        </w:numPr>
        <w:rPr>
          <w:color w:val="002060"/>
          <w:lang w:val="cs-CZ"/>
        </w:rPr>
      </w:pPr>
      <w:r w:rsidRPr="135080A3">
        <w:rPr>
          <w:color w:val="002060"/>
          <w:lang w:val="cs-CZ"/>
        </w:rPr>
        <w:t>posouzení udržitelnosti financování.</w:t>
      </w:r>
    </w:p>
    <w:p w14:paraId="62C51A67" w14:textId="592144B4" w:rsidR="1EB33230" w:rsidRPr="00003B62" w:rsidRDefault="14BDED44" w:rsidP="135080A3">
      <w:pPr>
        <w:rPr>
          <w:rFonts w:asciiTheme="minorHAnsi" w:eastAsiaTheme="minorEastAsia" w:hAnsiTheme="minorHAnsi"/>
          <w:color w:val="002060"/>
          <w:sz w:val="22"/>
          <w:szCs w:val="22"/>
        </w:rPr>
      </w:pPr>
      <w:r w:rsidRPr="135080A3">
        <w:rPr>
          <w:rFonts w:asciiTheme="minorHAnsi" w:eastAsiaTheme="minorEastAsia" w:hAnsiTheme="minorHAnsi"/>
          <w:color w:val="002060"/>
          <w:sz w:val="22"/>
          <w:szCs w:val="22"/>
        </w:rPr>
        <w:t>U opatření s dopadem na poskytování zdravotních služeb bude posuzována jejich vazba na úhradové mechanismy ve spolupráci se zdravotními pojišťovnami.</w:t>
      </w:r>
    </w:p>
    <w:p w14:paraId="4EF90762" w14:textId="6E3027AB" w:rsidR="1EB33230" w:rsidRPr="00003B62" w:rsidRDefault="1EB33230" w:rsidP="1EB33230">
      <w:pPr>
        <w:jc w:val="both"/>
        <w:rPr>
          <w:rFonts w:ascii="Aptos" w:hAnsi="Aptos"/>
          <w:color w:val="002060"/>
          <w:sz w:val="22"/>
          <w:szCs w:val="22"/>
        </w:rPr>
      </w:pPr>
    </w:p>
    <w:sectPr w:rsidR="1EB33230" w:rsidRPr="00003B62" w:rsidSect="00BD0BFF">
      <w:headerReference w:type="default" r:id="rId9"/>
      <w:footerReference w:type="default" r:id="rId10"/>
      <w:headerReference w:type="first" r:id="rId11"/>
      <w:pgSz w:w="11906" w:h="16838" w:code="9"/>
      <w:pgMar w:top="1417" w:right="1417" w:bottom="1417" w:left="1417"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FF6E0" w14:textId="77777777" w:rsidR="000F321E" w:rsidRPr="00F72499" w:rsidRDefault="000F321E">
      <w:pPr>
        <w:spacing w:after="0" w:line="240" w:lineRule="auto"/>
      </w:pPr>
      <w:r w:rsidRPr="00F72499">
        <w:separator/>
      </w:r>
    </w:p>
  </w:endnote>
  <w:endnote w:type="continuationSeparator" w:id="0">
    <w:p w14:paraId="1D5AD269" w14:textId="77777777" w:rsidR="000F321E" w:rsidRPr="00F72499" w:rsidRDefault="000F321E">
      <w:pPr>
        <w:spacing w:after="0" w:line="240" w:lineRule="auto"/>
      </w:pPr>
      <w:r w:rsidRPr="00F7249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EE"/>
    <w:family w:val="swiss"/>
    <w:pitch w:val="variable"/>
    <w:sig w:usb0="00000007" w:usb1="00000000" w:usb2="00000000" w:usb3="00000000" w:csb0="00000003" w:csb1="00000000"/>
  </w:font>
  <w:font w:name="Meiryo">
    <w:charset w:val="80"/>
    <w:family w:val="swiss"/>
    <w:pitch w:val="variable"/>
    <w:sig w:usb0="E00002FF" w:usb1="6AC7FFFF" w:usb2="08000012" w:usb3="00000000" w:csb0="0002009F" w:csb1="00000000"/>
  </w:font>
  <w:font w:name="Arial">
    <w:panose1 w:val="020B0604020202020204"/>
    <w:charset w:val="EE"/>
    <w:family w:val="swiss"/>
    <w:pitch w:val="variable"/>
    <w:sig w:usb0="E0002EFF" w:usb1="C000785B" w:usb2="00000009" w:usb3="00000000" w:csb0="000001FF" w:csb1="00000000"/>
  </w:font>
  <w:font w:name="Tw Cen MT Condensed">
    <w:panose1 w:val="020B0606020104020203"/>
    <w:charset w:val="EE"/>
    <w:family w:val="swiss"/>
    <w:pitch w:val="variable"/>
    <w:sig w:usb0="00000007" w:usb1="00000000" w:usb2="00000000" w:usb3="00000000" w:csb0="00000003" w:csb1="00000000"/>
  </w:font>
  <w:font w:name="Courier">
    <w:panose1 w:val="020703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lang w:val="cs-CZ"/>
      </w:rPr>
      <w:id w:val="355705908"/>
      <w:docPartObj>
        <w:docPartGallery w:val="Page Numbers (Bottom of Page)"/>
        <w:docPartUnique/>
      </w:docPartObj>
    </w:sdtPr>
    <w:sdtContent>
      <w:p w14:paraId="1E0AF7AD" w14:textId="4C91A5FF" w:rsidR="00040079" w:rsidRPr="00F72499" w:rsidRDefault="00040079">
        <w:pPr>
          <w:pStyle w:val="Zpat"/>
          <w:jc w:val="center"/>
          <w:rPr>
            <w:lang w:val="cs-CZ"/>
          </w:rPr>
        </w:pPr>
        <w:r w:rsidRPr="00F72499">
          <w:rPr>
            <w:lang w:val="cs-CZ"/>
          </w:rPr>
          <w:fldChar w:fldCharType="begin"/>
        </w:r>
        <w:r w:rsidRPr="00F72499">
          <w:rPr>
            <w:lang w:val="cs-CZ"/>
          </w:rPr>
          <w:instrText>PAGE   \* MERGEFORMAT</w:instrText>
        </w:r>
        <w:r w:rsidRPr="00F72499">
          <w:rPr>
            <w:lang w:val="cs-CZ"/>
          </w:rPr>
          <w:fldChar w:fldCharType="separate"/>
        </w:r>
        <w:r w:rsidRPr="00F72499">
          <w:rPr>
            <w:lang w:val="cs-CZ"/>
          </w:rPr>
          <w:t>2</w:t>
        </w:r>
        <w:r w:rsidRPr="00F72499">
          <w:rPr>
            <w:lang w:val="cs-CZ"/>
          </w:rPr>
          <w:fldChar w:fldCharType="end"/>
        </w:r>
      </w:p>
    </w:sdtContent>
  </w:sdt>
  <w:p w14:paraId="2D11EC18" w14:textId="16DF99B5" w:rsidR="00873D37" w:rsidRPr="00F72499" w:rsidRDefault="00873D37">
    <w:pPr>
      <w:pStyle w:val="Zpat"/>
      <w:jc w:val="center"/>
      <w:rPr>
        <w:lang w:val="cs-CZ"/>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4B555" w14:textId="77777777" w:rsidR="000F321E" w:rsidRPr="00F72499" w:rsidRDefault="000F321E">
      <w:pPr>
        <w:spacing w:after="0" w:line="240" w:lineRule="auto"/>
      </w:pPr>
      <w:r w:rsidRPr="00F72499">
        <w:separator/>
      </w:r>
    </w:p>
  </w:footnote>
  <w:footnote w:type="continuationSeparator" w:id="0">
    <w:p w14:paraId="147C538C" w14:textId="77777777" w:rsidR="000F321E" w:rsidRPr="00F72499" w:rsidRDefault="000F321E">
      <w:pPr>
        <w:spacing w:after="0" w:line="240" w:lineRule="auto"/>
      </w:pPr>
      <w:r w:rsidRPr="00F7249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EC0F5" w14:textId="5831BB51" w:rsidR="43BC2FF2" w:rsidRPr="00F72499" w:rsidRDefault="43BC2FF2" w:rsidP="43BC2FF2">
    <w:pPr>
      <w:pStyle w:val="Zhlav"/>
      <w:rPr>
        <w:lang w:val="cs-CZ"/>
      </w:rPr>
    </w:pPr>
  </w:p>
  <w:p w14:paraId="38F8ECCF" w14:textId="7A0A061C" w:rsidR="43BC2FF2" w:rsidRPr="00F72499" w:rsidRDefault="43BC2FF2" w:rsidP="43BC2FF2">
    <w:pPr>
      <w:pStyle w:val="Zhlav"/>
      <w:rPr>
        <w:lang w:val="cs-CZ"/>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91D84" w14:textId="2F904524" w:rsidR="0092591D" w:rsidRPr="00F72499" w:rsidRDefault="0092591D">
    <w:pPr>
      <w:pStyle w:val="Zhlav"/>
      <w:rPr>
        <w:lang w:val="cs-CZ"/>
      </w:rPr>
    </w:pPr>
    <w:r w:rsidRPr="00F72499">
      <w:rPr>
        <w:noProof/>
        <w:lang w:val="cs-CZ"/>
      </w:rPr>
      <w:drawing>
        <wp:inline distT="0" distB="0" distL="0" distR="0" wp14:anchorId="4CB9304C" wp14:editId="777EB29E">
          <wp:extent cx="2525273" cy="384049"/>
          <wp:effectExtent l="0" t="0" r="0" b="0"/>
          <wp:docPr id="61351501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81670" name="Picture 1524381670"/>
                  <pic:cNvPicPr/>
                </pic:nvPicPr>
                <pic:blipFill>
                  <a:blip r:embed="rId1">
                    <a:extLst>
                      <a:ext uri="{28A0092B-C50C-407E-A947-70E740481C1C}">
                        <a14:useLocalDpi xmlns:a14="http://schemas.microsoft.com/office/drawing/2010/main"/>
                      </a:ext>
                    </a:extLst>
                  </a:blip>
                  <a:stretch>
                    <a:fillRect/>
                  </a:stretch>
                </pic:blipFill>
                <pic:spPr>
                  <a:xfrm>
                    <a:off x="0" y="0"/>
                    <a:ext cx="2525273" cy="38404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slovanseznam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slovanseznam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Seznamsodrka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Seznamsodrka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slovanseznam"/>
      <w:lvlText w:val="%1."/>
      <w:lvlJc w:val="left"/>
      <w:pPr>
        <w:tabs>
          <w:tab w:val="num" w:pos="360"/>
        </w:tabs>
        <w:ind w:left="360" w:hanging="360"/>
      </w:pPr>
    </w:lvl>
  </w:abstractNum>
  <w:abstractNum w:abstractNumId="8" w15:restartNumberingAfterBreak="0">
    <w:nsid w:val="FFFFFF89"/>
    <w:multiLevelType w:val="singleLevel"/>
    <w:tmpl w:val="84A4E69C"/>
    <w:lvl w:ilvl="0">
      <w:start w:val="1"/>
      <w:numFmt w:val="bullet"/>
      <w:pStyle w:val="Seznamsodrkami"/>
      <w:lvlText w:val=""/>
      <w:lvlJc w:val="left"/>
      <w:pPr>
        <w:tabs>
          <w:tab w:val="num" w:pos="360"/>
        </w:tabs>
        <w:ind w:left="360" w:hanging="360"/>
      </w:pPr>
      <w:rPr>
        <w:rFonts w:ascii="Symbol" w:hAnsi="Symbol" w:hint="default"/>
      </w:rPr>
    </w:lvl>
  </w:abstractNum>
  <w:abstractNum w:abstractNumId="9" w15:restartNumberingAfterBreak="0">
    <w:nsid w:val="065D2416"/>
    <w:multiLevelType w:val="hybridMultilevel"/>
    <w:tmpl w:val="64D49EC8"/>
    <w:lvl w:ilvl="0" w:tplc="D3A61B4A">
      <w:start w:val="1"/>
      <w:numFmt w:val="decimal"/>
      <w:lvlText w:val="%1"/>
      <w:lvlJc w:val="left"/>
      <w:pPr>
        <w:ind w:left="432" w:hanging="432"/>
      </w:pPr>
    </w:lvl>
    <w:lvl w:ilvl="1" w:tplc="5E3C86EA">
      <w:start w:val="1"/>
      <w:numFmt w:val="lowerLetter"/>
      <w:lvlText w:val="%2."/>
      <w:lvlJc w:val="left"/>
      <w:pPr>
        <w:ind w:left="1440" w:hanging="360"/>
      </w:pPr>
    </w:lvl>
    <w:lvl w:ilvl="2" w:tplc="1E24CE42">
      <w:start w:val="1"/>
      <w:numFmt w:val="lowerRoman"/>
      <w:lvlText w:val="%3."/>
      <w:lvlJc w:val="right"/>
      <w:pPr>
        <w:ind w:left="2160" w:hanging="180"/>
      </w:pPr>
    </w:lvl>
    <w:lvl w:ilvl="3" w:tplc="42AAC392">
      <w:start w:val="1"/>
      <w:numFmt w:val="decimal"/>
      <w:lvlText w:val="%4."/>
      <w:lvlJc w:val="left"/>
      <w:pPr>
        <w:ind w:left="2880" w:hanging="360"/>
      </w:pPr>
    </w:lvl>
    <w:lvl w:ilvl="4" w:tplc="5A889062">
      <w:start w:val="1"/>
      <w:numFmt w:val="lowerLetter"/>
      <w:lvlText w:val="%5."/>
      <w:lvlJc w:val="left"/>
      <w:pPr>
        <w:ind w:left="3600" w:hanging="360"/>
      </w:pPr>
    </w:lvl>
    <w:lvl w:ilvl="5" w:tplc="90906DFC">
      <w:start w:val="1"/>
      <w:numFmt w:val="lowerRoman"/>
      <w:lvlText w:val="%6."/>
      <w:lvlJc w:val="right"/>
      <w:pPr>
        <w:ind w:left="4320" w:hanging="180"/>
      </w:pPr>
    </w:lvl>
    <w:lvl w:ilvl="6" w:tplc="CEA8C286">
      <w:start w:val="1"/>
      <w:numFmt w:val="decimal"/>
      <w:lvlText w:val="%7."/>
      <w:lvlJc w:val="left"/>
      <w:pPr>
        <w:ind w:left="5040" w:hanging="360"/>
      </w:pPr>
    </w:lvl>
    <w:lvl w:ilvl="7" w:tplc="26C22DFE">
      <w:start w:val="1"/>
      <w:numFmt w:val="lowerLetter"/>
      <w:lvlText w:val="%8."/>
      <w:lvlJc w:val="left"/>
      <w:pPr>
        <w:ind w:left="5760" w:hanging="360"/>
      </w:pPr>
    </w:lvl>
    <w:lvl w:ilvl="8" w:tplc="B2D8A76E">
      <w:start w:val="1"/>
      <w:numFmt w:val="lowerRoman"/>
      <w:lvlText w:val="%9."/>
      <w:lvlJc w:val="right"/>
      <w:pPr>
        <w:ind w:left="6480" w:hanging="180"/>
      </w:pPr>
    </w:lvl>
  </w:abstractNum>
  <w:abstractNum w:abstractNumId="10" w15:restartNumberingAfterBreak="0">
    <w:nsid w:val="0C927340"/>
    <w:multiLevelType w:val="multilevel"/>
    <w:tmpl w:val="52D05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19319E"/>
    <w:multiLevelType w:val="hybridMultilevel"/>
    <w:tmpl w:val="FFFFFFFF"/>
    <w:lvl w:ilvl="0" w:tplc="DEE8EA98">
      <w:start w:val="7"/>
      <w:numFmt w:val="decimal"/>
      <w:lvlText w:val="%1"/>
      <w:lvlJc w:val="left"/>
      <w:pPr>
        <w:ind w:left="426" w:hanging="360"/>
      </w:pPr>
    </w:lvl>
    <w:lvl w:ilvl="1" w:tplc="6DBC36D0">
      <w:start w:val="1"/>
      <w:numFmt w:val="lowerLetter"/>
      <w:lvlText w:val="%2."/>
      <w:lvlJc w:val="left"/>
      <w:pPr>
        <w:ind w:left="1146" w:hanging="360"/>
      </w:pPr>
    </w:lvl>
    <w:lvl w:ilvl="2" w:tplc="3BDE1508">
      <w:start w:val="1"/>
      <w:numFmt w:val="lowerRoman"/>
      <w:lvlText w:val="%3."/>
      <w:lvlJc w:val="right"/>
      <w:pPr>
        <w:ind w:left="1866" w:hanging="180"/>
      </w:pPr>
    </w:lvl>
    <w:lvl w:ilvl="3" w:tplc="1CC0489E">
      <w:start w:val="1"/>
      <w:numFmt w:val="decimal"/>
      <w:lvlText w:val="%4."/>
      <w:lvlJc w:val="left"/>
      <w:pPr>
        <w:ind w:left="2586" w:hanging="360"/>
      </w:pPr>
    </w:lvl>
    <w:lvl w:ilvl="4" w:tplc="5EF67F5A">
      <w:start w:val="1"/>
      <w:numFmt w:val="lowerLetter"/>
      <w:lvlText w:val="%5."/>
      <w:lvlJc w:val="left"/>
      <w:pPr>
        <w:ind w:left="3306" w:hanging="360"/>
      </w:pPr>
    </w:lvl>
    <w:lvl w:ilvl="5" w:tplc="179AE696">
      <w:start w:val="1"/>
      <w:numFmt w:val="lowerRoman"/>
      <w:lvlText w:val="%6."/>
      <w:lvlJc w:val="right"/>
      <w:pPr>
        <w:ind w:left="4026" w:hanging="180"/>
      </w:pPr>
    </w:lvl>
    <w:lvl w:ilvl="6" w:tplc="AE349526">
      <w:start w:val="1"/>
      <w:numFmt w:val="decimal"/>
      <w:lvlText w:val="%7."/>
      <w:lvlJc w:val="left"/>
      <w:pPr>
        <w:ind w:left="4746" w:hanging="360"/>
      </w:pPr>
    </w:lvl>
    <w:lvl w:ilvl="7" w:tplc="598CDA96">
      <w:start w:val="1"/>
      <w:numFmt w:val="lowerLetter"/>
      <w:lvlText w:val="%8."/>
      <w:lvlJc w:val="left"/>
      <w:pPr>
        <w:ind w:left="5466" w:hanging="360"/>
      </w:pPr>
    </w:lvl>
    <w:lvl w:ilvl="8" w:tplc="5E24EF62">
      <w:start w:val="1"/>
      <w:numFmt w:val="lowerRoman"/>
      <w:lvlText w:val="%9."/>
      <w:lvlJc w:val="right"/>
      <w:pPr>
        <w:ind w:left="6186" w:hanging="180"/>
      </w:pPr>
    </w:lvl>
  </w:abstractNum>
  <w:abstractNum w:abstractNumId="12" w15:restartNumberingAfterBreak="0">
    <w:nsid w:val="2D2214BD"/>
    <w:multiLevelType w:val="hybridMultilevel"/>
    <w:tmpl w:val="ECB0B7E8"/>
    <w:lvl w:ilvl="0" w:tplc="B70267FE">
      <w:start w:val="1"/>
      <w:numFmt w:val="lowerLetter"/>
      <w:lvlText w:val="%1)"/>
      <w:lvlJc w:val="left"/>
      <w:pPr>
        <w:ind w:left="720" w:hanging="360"/>
      </w:pPr>
    </w:lvl>
    <w:lvl w:ilvl="1" w:tplc="F3A6B932">
      <w:start w:val="1"/>
      <w:numFmt w:val="lowerLetter"/>
      <w:lvlText w:val="%2."/>
      <w:lvlJc w:val="left"/>
      <w:pPr>
        <w:ind w:left="1440" w:hanging="360"/>
      </w:pPr>
    </w:lvl>
    <w:lvl w:ilvl="2" w:tplc="6A1EA01E">
      <w:start w:val="1"/>
      <w:numFmt w:val="lowerRoman"/>
      <w:lvlText w:val="%3."/>
      <w:lvlJc w:val="right"/>
      <w:pPr>
        <w:ind w:left="2160" w:hanging="180"/>
      </w:pPr>
    </w:lvl>
    <w:lvl w:ilvl="3" w:tplc="1A9C4E32">
      <w:start w:val="1"/>
      <w:numFmt w:val="decimal"/>
      <w:lvlText w:val="%4."/>
      <w:lvlJc w:val="left"/>
      <w:pPr>
        <w:ind w:left="2880" w:hanging="360"/>
      </w:pPr>
    </w:lvl>
    <w:lvl w:ilvl="4" w:tplc="3EA6F1F0">
      <w:start w:val="1"/>
      <w:numFmt w:val="lowerLetter"/>
      <w:lvlText w:val="%5."/>
      <w:lvlJc w:val="left"/>
      <w:pPr>
        <w:ind w:left="3600" w:hanging="360"/>
      </w:pPr>
    </w:lvl>
    <w:lvl w:ilvl="5" w:tplc="4B4AC7C2">
      <w:start w:val="1"/>
      <w:numFmt w:val="lowerRoman"/>
      <w:lvlText w:val="%6."/>
      <w:lvlJc w:val="right"/>
      <w:pPr>
        <w:ind w:left="4320" w:hanging="180"/>
      </w:pPr>
    </w:lvl>
    <w:lvl w:ilvl="6" w:tplc="0A221EEC">
      <w:start w:val="1"/>
      <w:numFmt w:val="decimal"/>
      <w:lvlText w:val="%7."/>
      <w:lvlJc w:val="left"/>
      <w:pPr>
        <w:ind w:left="5040" w:hanging="360"/>
      </w:pPr>
    </w:lvl>
    <w:lvl w:ilvl="7" w:tplc="9D64B59E">
      <w:start w:val="1"/>
      <w:numFmt w:val="lowerLetter"/>
      <w:lvlText w:val="%8."/>
      <w:lvlJc w:val="left"/>
      <w:pPr>
        <w:ind w:left="5760" w:hanging="360"/>
      </w:pPr>
    </w:lvl>
    <w:lvl w:ilvl="8" w:tplc="1662F5AA">
      <w:start w:val="1"/>
      <w:numFmt w:val="lowerRoman"/>
      <w:lvlText w:val="%9."/>
      <w:lvlJc w:val="right"/>
      <w:pPr>
        <w:ind w:left="6480" w:hanging="180"/>
      </w:pPr>
    </w:lvl>
  </w:abstractNum>
  <w:abstractNum w:abstractNumId="13" w15:restartNumberingAfterBreak="0">
    <w:nsid w:val="323DFA76"/>
    <w:multiLevelType w:val="hybridMultilevel"/>
    <w:tmpl w:val="5068041E"/>
    <w:lvl w:ilvl="0" w:tplc="2DDEF0B4">
      <w:start w:val="1"/>
      <w:numFmt w:val="bullet"/>
      <w:lvlText w:val=""/>
      <w:lvlJc w:val="left"/>
      <w:pPr>
        <w:ind w:left="720" w:hanging="360"/>
      </w:pPr>
      <w:rPr>
        <w:rFonts w:ascii="Symbol" w:hAnsi="Symbol" w:hint="default"/>
      </w:rPr>
    </w:lvl>
    <w:lvl w:ilvl="1" w:tplc="AF62BB34">
      <w:start w:val="1"/>
      <w:numFmt w:val="bullet"/>
      <w:lvlText w:val="o"/>
      <w:lvlJc w:val="left"/>
      <w:pPr>
        <w:ind w:left="1440" w:hanging="360"/>
      </w:pPr>
      <w:rPr>
        <w:rFonts w:ascii="Courier New" w:hAnsi="Courier New" w:hint="default"/>
      </w:rPr>
    </w:lvl>
    <w:lvl w:ilvl="2" w:tplc="305CA880">
      <w:start w:val="1"/>
      <w:numFmt w:val="bullet"/>
      <w:lvlText w:val=""/>
      <w:lvlJc w:val="left"/>
      <w:pPr>
        <w:ind w:left="2160" w:hanging="360"/>
      </w:pPr>
      <w:rPr>
        <w:rFonts w:ascii="Wingdings" w:hAnsi="Wingdings" w:hint="default"/>
      </w:rPr>
    </w:lvl>
    <w:lvl w:ilvl="3" w:tplc="A4A82A60">
      <w:start w:val="1"/>
      <w:numFmt w:val="bullet"/>
      <w:lvlText w:val=""/>
      <w:lvlJc w:val="left"/>
      <w:pPr>
        <w:ind w:left="2880" w:hanging="360"/>
      </w:pPr>
      <w:rPr>
        <w:rFonts w:ascii="Symbol" w:hAnsi="Symbol" w:hint="default"/>
      </w:rPr>
    </w:lvl>
    <w:lvl w:ilvl="4" w:tplc="2CF64656">
      <w:start w:val="1"/>
      <w:numFmt w:val="bullet"/>
      <w:lvlText w:val="o"/>
      <w:lvlJc w:val="left"/>
      <w:pPr>
        <w:ind w:left="3600" w:hanging="360"/>
      </w:pPr>
      <w:rPr>
        <w:rFonts w:ascii="Courier New" w:hAnsi="Courier New" w:hint="default"/>
      </w:rPr>
    </w:lvl>
    <w:lvl w:ilvl="5" w:tplc="E03AB644">
      <w:start w:val="1"/>
      <w:numFmt w:val="bullet"/>
      <w:lvlText w:val=""/>
      <w:lvlJc w:val="left"/>
      <w:pPr>
        <w:ind w:left="4320" w:hanging="360"/>
      </w:pPr>
      <w:rPr>
        <w:rFonts w:ascii="Wingdings" w:hAnsi="Wingdings" w:hint="default"/>
      </w:rPr>
    </w:lvl>
    <w:lvl w:ilvl="6" w:tplc="FEC6987C">
      <w:start w:val="1"/>
      <w:numFmt w:val="bullet"/>
      <w:lvlText w:val=""/>
      <w:lvlJc w:val="left"/>
      <w:pPr>
        <w:ind w:left="5040" w:hanging="360"/>
      </w:pPr>
      <w:rPr>
        <w:rFonts w:ascii="Symbol" w:hAnsi="Symbol" w:hint="default"/>
      </w:rPr>
    </w:lvl>
    <w:lvl w:ilvl="7" w:tplc="7D721530">
      <w:start w:val="1"/>
      <w:numFmt w:val="bullet"/>
      <w:lvlText w:val="o"/>
      <w:lvlJc w:val="left"/>
      <w:pPr>
        <w:ind w:left="5760" w:hanging="360"/>
      </w:pPr>
      <w:rPr>
        <w:rFonts w:ascii="Courier New" w:hAnsi="Courier New" w:hint="default"/>
      </w:rPr>
    </w:lvl>
    <w:lvl w:ilvl="8" w:tplc="18749656">
      <w:start w:val="1"/>
      <w:numFmt w:val="bullet"/>
      <w:lvlText w:val=""/>
      <w:lvlJc w:val="left"/>
      <w:pPr>
        <w:ind w:left="6480" w:hanging="360"/>
      </w:pPr>
      <w:rPr>
        <w:rFonts w:ascii="Wingdings" w:hAnsi="Wingdings" w:hint="default"/>
      </w:rPr>
    </w:lvl>
  </w:abstractNum>
  <w:abstractNum w:abstractNumId="14" w15:restartNumberingAfterBreak="0">
    <w:nsid w:val="33504849"/>
    <w:multiLevelType w:val="hybridMultilevel"/>
    <w:tmpl w:val="0FD6FE4A"/>
    <w:lvl w:ilvl="0" w:tplc="0952E54C">
      <w:start w:val="7"/>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3DCF731D"/>
    <w:multiLevelType w:val="hybridMultilevel"/>
    <w:tmpl w:val="990A803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419AF2A7"/>
    <w:multiLevelType w:val="hybridMultilevel"/>
    <w:tmpl w:val="FFFFFFFF"/>
    <w:lvl w:ilvl="0" w:tplc="32289F44">
      <w:start w:val="7"/>
      <w:numFmt w:val="decimal"/>
      <w:lvlText w:val="%1"/>
      <w:lvlJc w:val="left"/>
      <w:pPr>
        <w:ind w:left="426" w:hanging="360"/>
      </w:pPr>
    </w:lvl>
    <w:lvl w:ilvl="1" w:tplc="71984110">
      <w:start w:val="1"/>
      <w:numFmt w:val="lowerLetter"/>
      <w:lvlText w:val="%2."/>
      <w:lvlJc w:val="left"/>
      <w:pPr>
        <w:ind w:left="1146" w:hanging="360"/>
      </w:pPr>
    </w:lvl>
    <w:lvl w:ilvl="2" w:tplc="95C40AAE">
      <w:start w:val="1"/>
      <w:numFmt w:val="lowerRoman"/>
      <w:lvlText w:val="%3."/>
      <w:lvlJc w:val="right"/>
      <w:pPr>
        <w:ind w:left="1866" w:hanging="180"/>
      </w:pPr>
    </w:lvl>
    <w:lvl w:ilvl="3" w:tplc="38D47910">
      <w:start w:val="1"/>
      <w:numFmt w:val="decimal"/>
      <w:lvlText w:val="%4."/>
      <w:lvlJc w:val="left"/>
      <w:pPr>
        <w:ind w:left="2586" w:hanging="360"/>
      </w:pPr>
    </w:lvl>
    <w:lvl w:ilvl="4" w:tplc="D88AA670">
      <w:start w:val="1"/>
      <w:numFmt w:val="lowerLetter"/>
      <w:lvlText w:val="%5."/>
      <w:lvlJc w:val="left"/>
      <w:pPr>
        <w:ind w:left="3306" w:hanging="360"/>
      </w:pPr>
    </w:lvl>
    <w:lvl w:ilvl="5" w:tplc="AE1A8E8C">
      <w:start w:val="1"/>
      <w:numFmt w:val="lowerRoman"/>
      <w:lvlText w:val="%6."/>
      <w:lvlJc w:val="right"/>
      <w:pPr>
        <w:ind w:left="4026" w:hanging="180"/>
      </w:pPr>
    </w:lvl>
    <w:lvl w:ilvl="6" w:tplc="2650292A">
      <w:start w:val="1"/>
      <w:numFmt w:val="decimal"/>
      <w:lvlText w:val="%7."/>
      <w:lvlJc w:val="left"/>
      <w:pPr>
        <w:ind w:left="4746" w:hanging="360"/>
      </w:pPr>
    </w:lvl>
    <w:lvl w:ilvl="7" w:tplc="9B4E6B32">
      <w:start w:val="1"/>
      <w:numFmt w:val="lowerLetter"/>
      <w:lvlText w:val="%8."/>
      <w:lvlJc w:val="left"/>
      <w:pPr>
        <w:ind w:left="5466" w:hanging="360"/>
      </w:pPr>
    </w:lvl>
    <w:lvl w:ilvl="8" w:tplc="D32E463E">
      <w:start w:val="1"/>
      <w:numFmt w:val="lowerRoman"/>
      <w:lvlText w:val="%9."/>
      <w:lvlJc w:val="right"/>
      <w:pPr>
        <w:ind w:left="6186" w:hanging="180"/>
      </w:pPr>
    </w:lvl>
  </w:abstractNum>
  <w:abstractNum w:abstractNumId="17" w15:restartNumberingAfterBreak="0">
    <w:nsid w:val="549AADAC"/>
    <w:multiLevelType w:val="hybridMultilevel"/>
    <w:tmpl w:val="FFFFFFFF"/>
    <w:lvl w:ilvl="0" w:tplc="0F0236C0">
      <w:start w:val="8"/>
      <w:numFmt w:val="decimal"/>
      <w:lvlText w:val="%1"/>
      <w:lvlJc w:val="left"/>
      <w:pPr>
        <w:ind w:left="426" w:hanging="360"/>
      </w:pPr>
    </w:lvl>
    <w:lvl w:ilvl="1" w:tplc="D3C02286">
      <w:start w:val="1"/>
      <w:numFmt w:val="lowerLetter"/>
      <w:lvlText w:val="%2."/>
      <w:lvlJc w:val="left"/>
      <w:pPr>
        <w:ind w:left="1146" w:hanging="360"/>
      </w:pPr>
    </w:lvl>
    <w:lvl w:ilvl="2" w:tplc="E904C04C">
      <w:start w:val="1"/>
      <w:numFmt w:val="lowerRoman"/>
      <w:lvlText w:val="%3."/>
      <w:lvlJc w:val="right"/>
      <w:pPr>
        <w:ind w:left="1866" w:hanging="180"/>
      </w:pPr>
    </w:lvl>
    <w:lvl w:ilvl="3" w:tplc="BEA69E40">
      <w:start w:val="1"/>
      <w:numFmt w:val="decimal"/>
      <w:lvlText w:val="%4."/>
      <w:lvlJc w:val="left"/>
      <w:pPr>
        <w:ind w:left="2586" w:hanging="360"/>
      </w:pPr>
    </w:lvl>
    <w:lvl w:ilvl="4" w:tplc="73364EF4">
      <w:start w:val="1"/>
      <w:numFmt w:val="lowerLetter"/>
      <w:lvlText w:val="%5."/>
      <w:lvlJc w:val="left"/>
      <w:pPr>
        <w:ind w:left="3306" w:hanging="360"/>
      </w:pPr>
    </w:lvl>
    <w:lvl w:ilvl="5" w:tplc="57969F98">
      <w:start w:val="1"/>
      <w:numFmt w:val="lowerRoman"/>
      <w:lvlText w:val="%6."/>
      <w:lvlJc w:val="right"/>
      <w:pPr>
        <w:ind w:left="4026" w:hanging="180"/>
      </w:pPr>
    </w:lvl>
    <w:lvl w:ilvl="6" w:tplc="0F12609A">
      <w:start w:val="1"/>
      <w:numFmt w:val="decimal"/>
      <w:lvlText w:val="%7."/>
      <w:lvlJc w:val="left"/>
      <w:pPr>
        <w:ind w:left="4746" w:hanging="360"/>
      </w:pPr>
    </w:lvl>
    <w:lvl w:ilvl="7" w:tplc="6128D0D6">
      <w:start w:val="1"/>
      <w:numFmt w:val="lowerLetter"/>
      <w:lvlText w:val="%8."/>
      <w:lvlJc w:val="left"/>
      <w:pPr>
        <w:ind w:left="5466" w:hanging="360"/>
      </w:pPr>
    </w:lvl>
    <w:lvl w:ilvl="8" w:tplc="3B966D78">
      <w:start w:val="1"/>
      <w:numFmt w:val="lowerRoman"/>
      <w:lvlText w:val="%9."/>
      <w:lvlJc w:val="right"/>
      <w:pPr>
        <w:ind w:left="6186" w:hanging="180"/>
      </w:pPr>
    </w:lvl>
  </w:abstractNum>
  <w:abstractNum w:abstractNumId="18" w15:restartNumberingAfterBreak="0">
    <w:nsid w:val="64542905"/>
    <w:multiLevelType w:val="multilevel"/>
    <w:tmpl w:val="2E96AE46"/>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7270B4DC"/>
    <w:multiLevelType w:val="hybridMultilevel"/>
    <w:tmpl w:val="1C1A79DC"/>
    <w:lvl w:ilvl="0" w:tplc="4A889B34">
      <w:start w:val="1"/>
      <w:numFmt w:val="bullet"/>
      <w:lvlText w:val=""/>
      <w:lvlJc w:val="left"/>
      <w:pPr>
        <w:ind w:left="720" w:hanging="360"/>
      </w:pPr>
      <w:rPr>
        <w:rFonts w:ascii="Symbol" w:hAnsi="Symbol" w:hint="default"/>
      </w:rPr>
    </w:lvl>
    <w:lvl w:ilvl="1" w:tplc="89422A66">
      <w:start w:val="1"/>
      <w:numFmt w:val="bullet"/>
      <w:lvlText w:val="o"/>
      <w:lvlJc w:val="left"/>
      <w:pPr>
        <w:ind w:left="1440" w:hanging="360"/>
      </w:pPr>
      <w:rPr>
        <w:rFonts w:ascii="Courier New" w:hAnsi="Courier New" w:hint="default"/>
      </w:rPr>
    </w:lvl>
    <w:lvl w:ilvl="2" w:tplc="DDC0A690">
      <w:start w:val="1"/>
      <w:numFmt w:val="bullet"/>
      <w:lvlText w:val=""/>
      <w:lvlJc w:val="left"/>
      <w:pPr>
        <w:ind w:left="2160" w:hanging="360"/>
      </w:pPr>
      <w:rPr>
        <w:rFonts w:ascii="Wingdings" w:hAnsi="Wingdings" w:hint="default"/>
      </w:rPr>
    </w:lvl>
    <w:lvl w:ilvl="3" w:tplc="66CE7F10">
      <w:start w:val="1"/>
      <w:numFmt w:val="bullet"/>
      <w:lvlText w:val=""/>
      <w:lvlJc w:val="left"/>
      <w:pPr>
        <w:ind w:left="2880" w:hanging="360"/>
      </w:pPr>
      <w:rPr>
        <w:rFonts w:ascii="Symbol" w:hAnsi="Symbol" w:hint="default"/>
      </w:rPr>
    </w:lvl>
    <w:lvl w:ilvl="4" w:tplc="2A94C2F2">
      <w:start w:val="1"/>
      <w:numFmt w:val="bullet"/>
      <w:lvlText w:val="o"/>
      <w:lvlJc w:val="left"/>
      <w:pPr>
        <w:ind w:left="3600" w:hanging="360"/>
      </w:pPr>
      <w:rPr>
        <w:rFonts w:ascii="Courier New" w:hAnsi="Courier New" w:hint="default"/>
      </w:rPr>
    </w:lvl>
    <w:lvl w:ilvl="5" w:tplc="553A201E">
      <w:start w:val="1"/>
      <w:numFmt w:val="bullet"/>
      <w:lvlText w:val=""/>
      <w:lvlJc w:val="left"/>
      <w:pPr>
        <w:ind w:left="4320" w:hanging="360"/>
      </w:pPr>
      <w:rPr>
        <w:rFonts w:ascii="Wingdings" w:hAnsi="Wingdings" w:hint="default"/>
      </w:rPr>
    </w:lvl>
    <w:lvl w:ilvl="6" w:tplc="A7723806">
      <w:start w:val="1"/>
      <w:numFmt w:val="bullet"/>
      <w:lvlText w:val=""/>
      <w:lvlJc w:val="left"/>
      <w:pPr>
        <w:ind w:left="5040" w:hanging="360"/>
      </w:pPr>
      <w:rPr>
        <w:rFonts w:ascii="Symbol" w:hAnsi="Symbol" w:hint="default"/>
      </w:rPr>
    </w:lvl>
    <w:lvl w:ilvl="7" w:tplc="979EF5E6">
      <w:start w:val="1"/>
      <w:numFmt w:val="bullet"/>
      <w:lvlText w:val="o"/>
      <w:lvlJc w:val="left"/>
      <w:pPr>
        <w:ind w:left="5760" w:hanging="360"/>
      </w:pPr>
      <w:rPr>
        <w:rFonts w:ascii="Courier New" w:hAnsi="Courier New" w:hint="default"/>
      </w:rPr>
    </w:lvl>
    <w:lvl w:ilvl="8" w:tplc="09EE5790">
      <w:start w:val="1"/>
      <w:numFmt w:val="bullet"/>
      <w:lvlText w:val=""/>
      <w:lvlJc w:val="left"/>
      <w:pPr>
        <w:ind w:left="6480" w:hanging="360"/>
      </w:pPr>
      <w:rPr>
        <w:rFonts w:ascii="Wingdings" w:hAnsi="Wingdings" w:hint="default"/>
      </w:rPr>
    </w:lvl>
  </w:abstractNum>
  <w:abstractNum w:abstractNumId="20" w15:restartNumberingAfterBreak="0">
    <w:nsid w:val="73CB40FE"/>
    <w:multiLevelType w:val="hybridMultilevel"/>
    <w:tmpl w:val="A222669C"/>
    <w:lvl w:ilvl="0" w:tplc="02C80D88">
      <w:start w:val="1"/>
      <w:numFmt w:val="bullet"/>
      <w:lvlText w:val=""/>
      <w:lvlJc w:val="left"/>
      <w:pPr>
        <w:ind w:left="1080" w:hanging="360"/>
      </w:pPr>
      <w:rPr>
        <w:rFonts w:ascii="Symbol" w:hAnsi="Symbol" w:hint="default"/>
      </w:rPr>
    </w:lvl>
    <w:lvl w:ilvl="1" w:tplc="778CC9E8">
      <w:start w:val="1"/>
      <w:numFmt w:val="bullet"/>
      <w:lvlText w:val="o"/>
      <w:lvlJc w:val="left"/>
      <w:pPr>
        <w:ind w:left="1440" w:hanging="360"/>
      </w:pPr>
      <w:rPr>
        <w:rFonts w:ascii="Courier New" w:hAnsi="Courier New" w:hint="default"/>
      </w:rPr>
    </w:lvl>
    <w:lvl w:ilvl="2" w:tplc="555E4BBE">
      <w:start w:val="1"/>
      <w:numFmt w:val="bullet"/>
      <w:lvlText w:val=""/>
      <w:lvlJc w:val="left"/>
      <w:pPr>
        <w:ind w:left="2160" w:hanging="360"/>
      </w:pPr>
      <w:rPr>
        <w:rFonts w:ascii="Wingdings" w:hAnsi="Wingdings" w:hint="default"/>
      </w:rPr>
    </w:lvl>
    <w:lvl w:ilvl="3" w:tplc="4DD2D948">
      <w:start w:val="1"/>
      <w:numFmt w:val="bullet"/>
      <w:lvlText w:val=""/>
      <w:lvlJc w:val="left"/>
      <w:pPr>
        <w:ind w:left="2880" w:hanging="360"/>
      </w:pPr>
      <w:rPr>
        <w:rFonts w:ascii="Symbol" w:hAnsi="Symbol" w:hint="default"/>
      </w:rPr>
    </w:lvl>
    <w:lvl w:ilvl="4" w:tplc="2D64D252">
      <w:start w:val="1"/>
      <w:numFmt w:val="bullet"/>
      <w:lvlText w:val="o"/>
      <w:lvlJc w:val="left"/>
      <w:pPr>
        <w:ind w:left="3600" w:hanging="360"/>
      </w:pPr>
      <w:rPr>
        <w:rFonts w:ascii="Courier New" w:hAnsi="Courier New" w:hint="default"/>
      </w:rPr>
    </w:lvl>
    <w:lvl w:ilvl="5" w:tplc="25384EB6">
      <w:start w:val="1"/>
      <w:numFmt w:val="bullet"/>
      <w:lvlText w:val=""/>
      <w:lvlJc w:val="left"/>
      <w:pPr>
        <w:ind w:left="4320" w:hanging="360"/>
      </w:pPr>
      <w:rPr>
        <w:rFonts w:ascii="Wingdings" w:hAnsi="Wingdings" w:hint="default"/>
      </w:rPr>
    </w:lvl>
    <w:lvl w:ilvl="6" w:tplc="129E74BE">
      <w:start w:val="1"/>
      <w:numFmt w:val="bullet"/>
      <w:lvlText w:val=""/>
      <w:lvlJc w:val="left"/>
      <w:pPr>
        <w:ind w:left="5040" w:hanging="360"/>
      </w:pPr>
      <w:rPr>
        <w:rFonts w:ascii="Symbol" w:hAnsi="Symbol" w:hint="default"/>
      </w:rPr>
    </w:lvl>
    <w:lvl w:ilvl="7" w:tplc="4204F928">
      <w:start w:val="1"/>
      <w:numFmt w:val="bullet"/>
      <w:lvlText w:val="o"/>
      <w:lvlJc w:val="left"/>
      <w:pPr>
        <w:ind w:left="5760" w:hanging="360"/>
      </w:pPr>
      <w:rPr>
        <w:rFonts w:ascii="Courier New" w:hAnsi="Courier New" w:hint="default"/>
      </w:rPr>
    </w:lvl>
    <w:lvl w:ilvl="8" w:tplc="3A94CB3A">
      <w:start w:val="1"/>
      <w:numFmt w:val="bullet"/>
      <w:lvlText w:val=""/>
      <w:lvlJc w:val="left"/>
      <w:pPr>
        <w:ind w:left="6480" w:hanging="360"/>
      </w:pPr>
      <w:rPr>
        <w:rFonts w:ascii="Wingdings" w:hAnsi="Wingdings" w:hint="default"/>
      </w:rPr>
    </w:lvl>
  </w:abstractNum>
  <w:abstractNum w:abstractNumId="21" w15:restartNumberingAfterBreak="0">
    <w:nsid w:val="78D36AC1"/>
    <w:multiLevelType w:val="hybridMultilevel"/>
    <w:tmpl w:val="F952762A"/>
    <w:lvl w:ilvl="0" w:tplc="9F8C5D6A">
      <w:start w:val="1"/>
      <w:numFmt w:val="bullet"/>
      <w:lvlText w:val=""/>
      <w:lvlJc w:val="left"/>
      <w:pPr>
        <w:ind w:left="720" w:hanging="360"/>
      </w:pPr>
      <w:rPr>
        <w:rFonts w:ascii="Symbol" w:hAnsi="Symbol" w:hint="default"/>
      </w:rPr>
    </w:lvl>
    <w:lvl w:ilvl="1" w:tplc="3EACA200">
      <w:start w:val="1"/>
      <w:numFmt w:val="bullet"/>
      <w:lvlText w:val="o"/>
      <w:lvlJc w:val="left"/>
      <w:pPr>
        <w:ind w:left="1440" w:hanging="360"/>
      </w:pPr>
      <w:rPr>
        <w:rFonts w:ascii="Courier New" w:hAnsi="Courier New" w:hint="default"/>
      </w:rPr>
    </w:lvl>
    <w:lvl w:ilvl="2" w:tplc="77A8F8BC">
      <w:start w:val="1"/>
      <w:numFmt w:val="bullet"/>
      <w:lvlText w:val=""/>
      <w:lvlJc w:val="left"/>
      <w:pPr>
        <w:ind w:left="2160" w:hanging="360"/>
      </w:pPr>
      <w:rPr>
        <w:rFonts w:ascii="Wingdings" w:hAnsi="Wingdings" w:hint="default"/>
      </w:rPr>
    </w:lvl>
    <w:lvl w:ilvl="3" w:tplc="012C31DE">
      <w:start w:val="1"/>
      <w:numFmt w:val="bullet"/>
      <w:lvlText w:val=""/>
      <w:lvlJc w:val="left"/>
      <w:pPr>
        <w:ind w:left="2880" w:hanging="360"/>
      </w:pPr>
      <w:rPr>
        <w:rFonts w:ascii="Symbol" w:hAnsi="Symbol" w:hint="default"/>
      </w:rPr>
    </w:lvl>
    <w:lvl w:ilvl="4" w:tplc="5FF21C0E">
      <w:start w:val="1"/>
      <w:numFmt w:val="bullet"/>
      <w:lvlText w:val="o"/>
      <w:lvlJc w:val="left"/>
      <w:pPr>
        <w:ind w:left="3600" w:hanging="360"/>
      </w:pPr>
      <w:rPr>
        <w:rFonts w:ascii="Courier New" w:hAnsi="Courier New" w:hint="default"/>
      </w:rPr>
    </w:lvl>
    <w:lvl w:ilvl="5" w:tplc="AF1EC4DE">
      <w:start w:val="1"/>
      <w:numFmt w:val="bullet"/>
      <w:lvlText w:val=""/>
      <w:lvlJc w:val="left"/>
      <w:pPr>
        <w:ind w:left="4320" w:hanging="360"/>
      </w:pPr>
      <w:rPr>
        <w:rFonts w:ascii="Wingdings" w:hAnsi="Wingdings" w:hint="default"/>
      </w:rPr>
    </w:lvl>
    <w:lvl w:ilvl="6" w:tplc="FF560B52">
      <w:start w:val="1"/>
      <w:numFmt w:val="bullet"/>
      <w:lvlText w:val=""/>
      <w:lvlJc w:val="left"/>
      <w:pPr>
        <w:ind w:left="5040" w:hanging="360"/>
      </w:pPr>
      <w:rPr>
        <w:rFonts w:ascii="Symbol" w:hAnsi="Symbol" w:hint="default"/>
      </w:rPr>
    </w:lvl>
    <w:lvl w:ilvl="7" w:tplc="BDC233BA">
      <w:start w:val="1"/>
      <w:numFmt w:val="bullet"/>
      <w:lvlText w:val="o"/>
      <w:lvlJc w:val="left"/>
      <w:pPr>
        <w:ind w:left="5760" w:hanging="360"/>
      </w:pPr>
      <w:rPr>
        <w:rFonts w:ascii="Courier New" w:hAnsi="Courier New" w:hint="default"/>
      </w:rPr>
    </w:lvl>
    <w:lvl w:ilvl="8" w:tplc="B2F4BC3E">
      <w:start w:val="1"/>
      <w:numFmt w:val="bullet"/>
      <w:lvlText w:val=""/>
      <w:lvlJc w:val="left"/>
      <w:pPr>
        <w:ind w:left="6480" w:hanging="360"/>
      </w:pPr>
      <w:rPr>
        <w:rFonts w:ascii="Wingdings" w:hAnsi="Wingdings" w:hint="default"/>
      </w:rPr>
    </w:lvl>
  </w:abstractNum>
  <w:abstractNum w:abstractNumId="22" w15:restartNumberingAfterBreak="0">
    <w:nsid w:val="7A0361E3"/>
    <w:multiLevelType w:val="hybridMultilevel"/>
    <w:tmpl w:val="E738D2E6"/>
    <w:lvl w:ilvl="0" w:tplc="41F4BDD0">
      <w:start w:val="1"/>
      <w:numFmt w:val="bullet"/>
      <w:lvlText w:val=""/>
      <w:lvlJc w:val="left"/>
      <w:pPr>
        <w:ind w:left="720" w:hanging="360"/>
      </w:pPr>
      <w:rPr>
        <w:rFonts w:ascii="Symbol" w:hAnsi="Symbol" w:hint="default"/>
      </w:rPr>
    </w:lvl>
    <w:lvl w:ilvl="1" w:tplc="8708A8F2">
      <w:start w:val="1"/>
      <w:numFmt w:val="bullet"/>
      <w:lvlText w:val="o"/>
      <w:lvlJc w:val="left"/>
      <w:pPr>
        <w:ind w:left="1440" w:hanging="360"/>
      </w:pPr>
      <w:rPr>
        <w:rFonts w:ascii="Courier New" w:hAnsi="Courier New" w:hint="default"/>
      </w:rPr>
    </w:lvl>
    <w:lvl w:ilvl="2" w:tplc="E5EE8FD4">
      <w:start w:val="1"/>
      <w:numFmt w:val="bullet"/>
      <w:lvlText w:val=""/>
      <w:lvlJc w:val="left"/>
      <w:pPr>
        <w:ind w:left="2160" w:hanging="360"/>
      </w:pPr>
      <w:rPr>
        <w:rFonts w:ascii="Wingdings" w:hAnsi="Wingdings" w:hint="default"/>
      </w:rPr>
    </w:lvl>
    <w:lvl w:ilvl="3" w:tplc="290E8A8A">
      <w:start w:val="1"/>
      <w:numFmt w:val="bullet"/>
      <w:lvlText w:val=""/>
      <w:lvlJc w:val="left"/>
      <w:pPr>
        <w:ind w:left="2880" w:hanging="360"/>
      </w:pPr>
      <w:rPr>
        <w:rFonts w:ascii="Symbol" w:hAnsi="Symbol" w:hint="default"/>
      </w:rPr>
    </w:lvl>
    <w:lvl w:ilvl="4" w:tplc="67049194">
      <w:start w:val="1"/>
      <w:numFmt w:val="bullet"/>
      <w:lvlText w:val="o"/>
      <w:lvlJc w:val="left"/>
      <w:pPr>
        <w:ind w:left="3600" w:hanging="360"/>
      </w:pPr>
      <w:rPr>
        <w:rFonts w:ascii="Courier New" w:hAnsi="Courier New" w:hint="default"/>
      </w:rPr>
    </w:lvl>
    <w:lvl w:ilvl="5" w:tplc="72B06D64">
      <w:start w:val="1"/>
      <w:numFmt w:val="bullet"/>
      <w:lvlText w:val=""/>
      <w:lvlJc w:val="left"/>
      <w:pPr>
        <w:ind w:left="4320" w:hanging="360"/>
      </w:pPr>
      <w:rPr>
        <w:rFonts w:ascii="Wingdings" w:hAnsi="Wingdings" w:hint="default"/>
      </w:rPr>
    </w:lvl>
    <w:lvl w:ilvl="6" w:tplc="15804422">
      <w:start w:val="1"/>
      <w:numFmt w:val="bullet"/>
      <w:lvlText w:val=""/>
      <w:lvlJc w:val="left"/>
      <w:pPr>
        <w:ind w:left="5040" w:hanging="360"/>
      </w:pPr>
      <w:rPr>
        <w:rFonts w:ascii="Symbol" w:hAnsi="Symbol" w:hint="default"/>
      </w:rPr>
    </w:lvl>
    <w:lvl w:ilvl="7" w:tplc="3F68E86C">
      <w:start w:val="1"/>
      <w:numFmt w:val="bullet"/>
      <w:lvlText w:val="o"/>
      <w:lvlJc w:val="left"/>
      <w:pPr>
        <w:ind w:left="5760" w:hanging="360"/>
      </w:pPr>
      <w:rPr>
        <w:rFonts w:ascii="Courier New" w:hAnsi="Courier New" w:hint="default"/>
      </w:rPr>
    </w:lvl>
    <w:lvl w:ilvl="8" w:tplc="284EBC62">
      <w:start w:val="1"/>
      <w:numFmt w:val="bullet"/>
      <w:lvlText w:val=""/>
      <w:lvlJc w:val="left"/>
      <w:pPr>
        <w:ind w:left="6480" w:hanging="360"/>
      </w:pPr>
      <w:rPr>
        <w:rFonts w:ascii="Wingdings" w:hAnsi="Wingdings" w:hint="default"/>
      </w:rPr>
    </w:lvl>
  </w:abstractNum>
  <w:num w:numId="1" w16cid:durableId="1462923908">
    <w:abstractNumId w:val="13"/>
  </w:num>
  <w:num w:numId="2" w16cid:durableId="1253274690">
    <w:abstractNumId w:val="9"/>
  </w:num>
  <w:num w:numId="3" w16cid:durableId="418790371">
    <w:abstractNumId w:val="21"/>
  </w:num>
  <w:num w:numId="4" w16cid:durableId="1362046866">
    <w:abstractNumId w:val="19"/>
  </w:num>
  <w:num w:numId="5" w16cid:durableId="726421400">
    <w:abstractNumId w:val="20"/>
  </w:num>
  <w:num w:numId="6" w16cid:durableId="1181821038">
    <w:abstractNumId w:val="12"/>
  </w:num>
  <w:num w:numId="7" w16cid:durableId="627198347">
    <w:abstractNumId w:val="22"/>
  </w:num>
  <w:num w:numId="8" w16cid:durableId="2016767649">
    <w:abstractNumId w:val="16"/>
  </w:num>
  <w:num w:numId="9" w16cid:durableId="705762280">
    <w:abstractNumId w:val="17"/>
  </w:num>
  <w:num w:numId="10" w16cid:durableId="1207528351">
    <w:abstractNumId w:val="11"/>
  </w:num>
  <w:num w:numId="11" w16cid:durableId="441220138">
    <w:abstractNumId w:val="8"/>
  </w:num>
  <w:num w:numId="12" w16cid:durableId="1242832790">
    <w:abstractNumId w:val="6"/>
  </w:num>
  <w:num w:numId="13" w16cid:durableId="1690525728">
    <w:abstractNumId w:val="5"/>
  </w:num>
  <w:num w:numId="14" w16cid:durableId="2136365597">
    <w:abstractNumId w:val="4"/>
  </w:num>
  <w:num w:numId="15" w16cid:durableId="1070465438">
    <w:abstractNumId w:val="7"/>
  </w:num>
  <w:num w:numId="16" w16cid:durableId="1528254179">
    <w:abstractNumId w:val="3"/>
  </w:num>
  <w:num w:numId="17" w16cid:durableId="1559051577">
    <w:abstractNumId w:val="2"/>
  </w:num>
  <w:num w:numId="18" w16cid:durableId="1093235195">
    <w:abstractNumId w:val="1"/>
  </w:num>
  <w:num w:numId="19" w16cid:durableId="1737313402">
    <w:abstractNumId w:val="0"/>
  </w:num>
  <w:num w:numId="20" w16cid:durableId="813137586">
    <w:abstractNumId w:val="10"/>
  </w:num>
  <w:num w:numId="21" w16cid:durableId="1933396952">
    <w:abstractNumId w:val="18"/>
  </w:num>
  <w:num w:numId="22" w16cid:durableId="752044099">
    <w:abstractNumId w:val="14"/>
  </w:num>
  <w:num w:numId="23" w16cid:durableId="5793665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3B62"/>
    <w:rsid w:val="00034616"/>
    <w:rsid w:val="00040079"/>
    <w:rsid w:val="0006063C"/>
    <w:rsid w:val="000872F6"/>
    <w:rsid w:val="000B64EF"/>
    <w:rsid w:val="000F321E"/>
    <w:rsid w:val="00133109"/>
    <w:rsid w:val="00140E14"/>
    <w:rsid w:val="0015074B"/>
    <w:rsid w:val="00181FBC"/>
    <w:rsid w:val="00291E62"/>
    <w:rsid w:val="0029639D"/>
    <w:rsid w:val="002B1E3A"/>
    <w:rsid w:val="002C084E"/>
    <w:rsid w:val="002D40D5"/>
    <w:rsid w:val="002F7974"/>
    <w:rsid w:val="003132C1"/>
    <w:rsid w:val="00326F90"/>
    <w:rsid w:val="00327B7B"/>
    <w:rsid w:val="0038144B"/>
    <w:rsid w:val="004044F2"/>
    <w:rsid w:val="00497BDA"/>
    <w:rsid w:val="004D2862"/>
    <w:rsid w:val="004D3148"/>
    <w:rsid w:val="0054617F"/>
    <w:rsid w:val="00577EDD"/>
    <w:rsid w:val="005806A8"/>
    <w:rsid w:val="005935A6"/>
    <w:rsid w:val="00612096"/>
    <w:rsid w:val="00675A93"/>
    <w:rsid w:val="006E56A1"/>
    <w:rsid w:val="0070108D"/>
    <w:rsid w:val="00743899"/>
    <w:rsid w:val="0079047F"/>
    <w:rsid w:val="007C5238"/>
    <w:rsid w:val="007D7D28"/>
    <w:rsid w:val="0081092E"/>
    <w:rsid w:val="00873D37"/>
    <w:rsid w:val="0088063F"/>
    <w:rsid w:val="0092591D"/>
    <w:rsid w:val="00932AA4"/>
    <w:rsid w:val="00A115C5"/>
    <w:rsid w:val="00A56ACC"/>
    <w:rsid w:val="00A90696"/>
    <w:rsid w:val="00AA1D8D"/>
    <w:rsid w:val="00AF6770"/>
    <w:rsid w:val="00B47730"/>
    <w:rsid w:val="00B6308B"/>
    <w:rsid w:val="00B65344"/>
    <w:rsid w:val="00BD0806"/>
    <w:rsid w:val="00BD0BFF"/>
    <w:rsid w:val="00BD533A"/>
    <w:rsid w:val="00C05BF8"/>
    <w:rsid w:val="00C17788"/>
    <w:rsid w:val="00C219ED"/>
    <w:rsid w:val="00C660C5"/>
    <w:rsid w:val="00C75105"/>
    <w:rsid w:val="00C965BC"/>
    <w:rsid w:val="00CB0664"/>
    <w:rsid w:val="00CB77FC"/>
    <w:rsid w:val="00CC0636"/>
    <w:rsid w:val="00D34C9C"/>
    <w:rsid w:val="00D35141"/>
    <w:rsid w:val="00DA6114"/>
    <w:rsid w:val="00DB09C0"/>
    <w:rsid w:val="00DC5084"/>
    <w:rsid w:val="00DD42E6"/>
    <w:rsid w:val="00DF1698"/>
    <w:rsid w:val="00E82A74"/>
    <w:rsid w:val="00E90A3A"/>
    <w:rsid w:val="00ED10DA"/>
    <w:rsid w:val="00F11341"/>
    <w:rsid w:val="00F172C6"/>
    <w:rsid w:val="00F509DE"/>
    <w:rsid w:val="00F72499"/>
    <w:rsid w:val="00F832E5"/>
    <w:rsid w:val="00F97EC3"/>
    <w:rsid w:val="00FC693F"/>
    <w:rsid w:val="01D4BED3"/>
    <w:rsid w:val="023C4DB6"/>
    <w:rsid w:val="03D9D3FC"/>
    <w:rsid w:val="03F71206"/>
    <w:rsid w:val="04098D91"/>
    <w:rsid w:val="06A97095"/>
    <w:rsid w:val="072D6C2E"/>
    <w:rsid w:val="074A8BA4"/>
    <w:rsid w:val="088FB444"/>
    <w:rsid w:val="0AD086B2"/>
    <w:rsid w:val="0B00966B"/>
    <w:rsid w:val="0CA493FF"/>
    <w:rsid w:val="0D765EBF"/>
    <w:rsid w:val="0E7D589B"/>
    <w:rsid w:val="1034F7FA"/>
    <w:rsid w:val="107F48DF"/>
    <w:rsid w:val="119A5533"/>
    <w:rsid w:val="1310164B"/>
    <w:rsid w:val="133429EB"/>
    <w:rsid w:val="135080A3"/>
    <w:rsid w:val="147C9606"/>
    <w:rsid w:val="14BDED44"/>
    <w:rsid w:val="16857DE7"/>
    <w:rsid w:val="169D3260"/>
    <w:rsid w:val="16F6B679"/>
    <w:rsid w:val="173581DD"/>
    <w:rsid w:val="177BE67B"/>
    <w:rsid w:val="177EF746"/>
    <w:rsid w:val="188B510B"/>
    <w:rsid w:val="19E4376A"/>
    <w:rsid w:val="1B29117C"/>
    <w:rsid w:val="1C1DC4B7"/>
    <w:rsid w:val="1C5F5F48"/>
    <w:rsid w:val="1CAC9DD8"/>
    <w:rsid w:val="1D3E67CB"/>
    <w:rsid w:val="1D53870B"/>
    <w:rsid w:val="1EB33230"/>
    <w:rsid w:val="1EB33A0E"/>
    <w:rsid w:val="1ECA1E19"/>
    <w:rsid w:val="20AE4A77"/>
    <w:rsid w:val="212371CB"/>
    <w:rsid w:val="223F6C2C"/>
    <w:rsid w:val="23C49D96"/>
    <w:rsid w:val="23EDBACD"/>
    <w:rsid w:val="24B637BE"/>
    <w:rsid w:val="26873804"/>
    <w:rsid w:val="26FC0F2E"/>
    <w:rsid w:val="286A844E"/>
    <w:rsid w:val="29169268"/>
    <w:rsid w:val="292FCFBF"/>
    <w:rsid w:val="2965AE0C"/>
    <w:rsid w:val="2BA8D521"/>
    <w:rsid w:val="2BF8CFEE"/>
    <w:rsid w:val="2C7253C0"/>
    <w:rsid w:val="2D7FF09C"/>
    <w:rsid w:val="2DA260B3"/>
    <w:rsid w:val="2E92DDB8"/>
    <w:rsid w:val="2EDE26BE"/>
    <w:rsid w:val="2FD59716"/>
    <w:rsid w:val="31AA686F"/>
    <w:rsid w:val="31C88592"/>
    <w:rsid w:val="320D484B"/>
    <w:rsid w:val="32768257"/>
    <w:rsid w:val="32AD3AAF"/>
    <w:rsid w:val="33A941AC"/>
    <w:rsid w:val="340FD986"/>
    <w:rsid w:val="38E1A05B"/>
    <w:rsid w:val="394BB2D9"/>
    <w:rsid w:val="39781FDE"/>
    <w:rsid w:val="3BB4BE70"/>
    <w:rsid w:val="3C9F56D7"/>
    <w:rsid w:val="3D41B471"/>
    <w:rsid w:val="3E70B80B"/>
    <w:rsid w:val="3E756E1C"/>
    <w:rsid w:val="4144A0D0"/>
    <w:rsid w:val="42ECF0E7"/>
    <w:rsid w:val="439C2746"/>
    <w:rsid w:val="43BC2FF2"/>
    <w:rsid w:val="4438DDFB"/>
    <w:rsid w:val="446E9FF9"/>
    <w:rsid w:val="4522153B"/>
    <w:rsid w:val="46308502"/>
    <w:rsid w:val="47480AE6"/>
    <w:rsid w:val="496E7D6D"/>
    <w:rsid w:val="4A4689E4"/>
    <w:rsid w:val="4A533A8B"/>
    <w:rsid w:val="4AD16EB9"/>
    <w:rsid w:val="4B391328"/>
    <w:rsid w:val="4CBD4A06"/>
    <w:rsid w:val="4CC54CE3"/>
    <w:rsid w:val="4D452B27"/>
    <w:rsid w:val="4FA86195"/>
    <w:rsid w:val="4FE90036"/>
    <w:rsid w:val="5001993E"/>
    <w:rsid w:val="504343B4"/>
    <w:rsid w:val="50965CD1"/>
    <w:rsid w:val="5231AAAB"/>
    <w:rsid w:val="52CDA6B5"/>
    <w:rsid w:val="5328CA41"/>
    <w:rsid w:val="53419692"/>
    <w:rsid w:val="553F8A87"/>
    <w:rsid w:val="5573A7E0"/>
    <w:rsid w:val="5604E761"/>
    <w:rsid w:val="562E1C38"/>
    <w:rsid w:val="57EE1415"/>
    <w:rsid w:val="5960452C"/>
    <w:rsid w:val="5A431845"/>
    <w:rsid w:val="5C2840D3"/>
    <w:rsid w:val="5C79DF2A"/>
    <w:rsid w:val="5DC04FAC"/>
    <w:rsid w:val="5DD5E3FA"/>
    <w:rsid w:val="5E3FB167"/>
    <w:rsid w:val="5E6A4E6D"/>
    <w:rsid w:val="5FECFAB6"/>
    <w:rsid w:val="605A4121"/>
    <w:rsid w:val="608F94C5"/>
    <w:rsid w:val="616B4072"/>
    <w:rsid w:val="618C9D77"/>
    <w:rsid w:val="6288FD74"/>
    <w:rsid w:val="63717D4B"/>
    <w:rsid w:val="64263318"/>
    <w:rsid w:val="65474B09"/>
    <w:rsid w:val="654C2136"/>
    <w:rsid w:val="658300B8"/>
    <w:rsid w:val="663C82A3"/>
    <w:rsid w:val="667980CF"/>
    <w:rsid w:val="668A6802"/>
    <w:rsid w:val="67B3F931"/>
    <w:rsid w:val="67E4BB72"/>
    <w:rsid w:val="68BA652B"/>
    <w:rsid w:val="6AF7E804"/>
    <w:rsid w:val="6B103251"/>
    <w:rsid w:val="6BA07562"/>
    <w:rsid w:val="6D09818D"/>
    <w:rsid w:val="6D13DA70"/>
    <w:rsid w:val="6D18C134"/>
    <w:rsid w:val="6DD2AAB9"/>
    <w:rsid w:val="6E0D20D7"/>
    <w:rsid w:val="6EC84983"/>
    <w:rsid w:val="6F04F8DF"/>
    <w:rsid w:val="6F342A97"/>
    <w:rsid w:val="70010C03"/>
    <w:rsid w:val="711FCD73"/>
    <w:rsid w:val="7143E3DB"/>
    <w:rsid w:val="7183C63B"/>
    <w:rsid w:val="721EA6E0"/>
    <w:rsid w:val="728696AF"/>
    <w:rsid w:val="734DA6AD"/>
    <w:rsid w:val="734E1AF8"/>
    <w:rsid w:val="736D6E86"/>
    <w:rsid w:val="7378AB1B"/>
    <w:rsid w:val="74196EB6"/>
    <w:rsid w:val="74748F11"/>
    <w:rsid w:val="76498343"/>
    <w:rsid w:val="773A58C5"/>
    <w:rsid w:val="78FF6FE6"/>
    <w:rsid w:val="791A8B88"/>
    <w:rsid w:val="7935B707"/>
    <w:rsid w:val="7A2DBE07"/>
    <w:rsid w:val="7B53F8AD"/>
    <w:rsid w:val="7B965BF5"/>
    <w:rsid w:val="7C456E7E"/>
    <w:rsid w:val="7D009FD8"/>
    <w:rsid w:val="7DC307FA"/>
    <w:rsid w:val="7E2D1194"/>
    <w:rsid w:val="7EA931B8"/>
    <w:rsid w:val="7EFE4AB1"/>
    <w:rsid w:val="7F48A7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0A5DB1"/>
  <w14:defaultImageDpi w14:val="300"/>
  <w15:docId w15:val="{B1166B74-18FE-4DCE-AB83-BAA6E28E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32AD3AAF"/>
    <w:pPr>
      <w:spacing w:after="120"/>
    </w:pPr>
    <w:rPr>
      <w:rFonts w:ascii="Arial" w:eastAsia="Arial" w:hAnsi="Arial"/>
      <w:sz w:val="20"/>
      <w:szCs w:val="20"/>
      <w:lang w:val="cs-CZ"/>
    </w:rPr>
  </w:style>
  <w:style w:type="paragraph" w:styleId="Nadpis1">
    <w:name w:val="heading 1"/>
    <w:link w:val="Nadpis1Char"/>
    <w:uiPriority w:val="9"/>
    <w:qFormat/>
    <w:rsid w:val="1EB33230"/>
    <w:pPr>
      <w:keepNext/>
      <w:keepLines/>
      <w:spacing w:before="480" w:after="0"/>
      <w:outlineLvl w:val="0"/>
    </w:pPr>
    <w:rPr>
      <w:rFonts w:asciiTheme="majorHAnsi" w:eastAsiaTheme="majorEastAsia" w:hAnsiTheme="majorHAnsi" w:cstheme="majorBidi"/>
      <w:b/>
      <w:bCs/>
      <w:color w:val="1F4E79"/>
      <w:sz w:val="30"/>
      <w:szCs w:val="30"/>
    </w:rPr>
  </w:style>
  <w:style w:type="paragraph" w:styleId="Nadpis2">
    <w:name w:val="heading 2"/>
    <w:link w:val="Nadpis2Char"/>
    <w:uiPriority w:val="9"/>
    <w:unhideWhenUsed/>
    <w:qFormat/>
    <w:rsid w:val="1EB33230"/>
    <w:pPr>
      <w:keepNext/>
      <w:keepLines/>
      <w:spacing w:before="200" w:after="0"/>
      <w:outlineLvl w:val="1"/>
    </w:pPr>
    <w:rPr>
      <w:rFonts w:asciiTheme="majorHAnsi" w:eastAsiaTheme="majorEastAsia" w:hAnsiTheme="majorHAnsi" w:cstheme="majorBidi"/>
      <w:b/>
      <w:bCs/>
      <w:color w:val="1F4E79"/>
      <w:sz w:val="24"/>
      <w:szCs w:val="24"/>
    </w:rPr>
  </w:style>
  <w:style w:type="paragraph" w:styleId="Nadpis3">
    <w:name w:val="heading 3"/>
    <w:link w:val="Nadpis3Char"/>
    <w:uiPriority w:val="9"/>
    <w:unhideWhenUsed/>
    <w:qFormat/>
    <w:rsid w:val="1EB33230"/>
    <w:pPr>
      <w:keepNext/>
      <w:keepLines/>
      <w:spacing w:before="200" w:after="0"/>
      <w:outlineLvl w:val="2"/>
    </w:pPr>
    <w:rPr>
      <w:rFonts w:asciiTheme="majorHAnsi" w:eastAsiaTheme="majorEastAsia" w:hAnsiTheme="majorHAnsi" w:cstheme="majorBidi"/>
      <w:b/>
      <w:bCs/>
      <w:color w:val="1F4E79"/>
      <w:sz w:val="21"/>
      <w:szCs w:val="21"/>
    </w:rPr>
  </w:style>
  <w:style w:type="paragraph" w:styleId="Nadpis4">
    <w:name w:val="heading 4"/>
    <w:link w:val="Nadpis4Char"/>
    <w:uiPriority w:val="9"/>
    <w:semiHidden/>
    <w:unhideWhenUsed/>
    <w:qFormat/>
    <w:rsid w:val="1EB33230"/>
    <w:pPr>
      <w:keepNext/>
      <w:keepLines/>
      <w:spacing w:before="200" w:after="0"/>
      <w:outlineLvl w:val="3"/>
    </w:pPr>
    <w:rPr>
      <w:rFonts w:asciiTheme="majorHAnsi" w:eastAsiaTheme="majorEastAsia" w:hAnsiTheme="majorHAnsi" w:cstheme="majorBidi"/>
      <w:b/>
      <w:bCs/>
      <w:i/>
      <w:iCs/>
      <w:color w:val="1CADE4" w:themeColor="accent1"/>
    </w:rPr>
  </w:style>
  <w:style w:type="paragraph" w:styleId="Nadpis5">
    <w:name w:val="heading 5"/>
    <w:link w:val="Nadpis5Char"/>
    <w:uiPriority w:val="9"/>
    <w:semiHidden/>
    <w:unhideWhenUsed/>
    <w:qFormat/>
    <w:rsid w:val="1EB33230"/>
    <w:pPr>
      <w:keepNext/>
      <w:keepLines/>
      <w:spacing w:before="200" w:after="0"/>
      <w:outlineLvl w:val="4"/>
    </w:pPr>
    <w:rPr>
      <w:rFonts w:asciiTheme="majorHAnsi" w:eastAsiaTheme="majorEastAsia" w:hAnsiTheme="majorHAnsi" w:cstheme="majorBidi"/>
      <w:color w:val="0D5571"/>
    </w:rPr>
  </w:style>
  <w:style w:type="paragraph" w:styleId="Nadpis6">
    <w:name w:val="heading 6"/>
    <w:link w:val="Nadpis6Char"/>
    <w:uiPriority w:val="9"/>
    <w:semiHidden/>
    <w:unhideWhenUsed/>
    <w:qFormat/>
    <w:rsid w:val="1EB33230"/>
    <w:pPr>
      <w:keepNext/>
      <w:keepLines/>
      <w:spacing w:before="200" w:after="0"/>
      <w:outlineLvl w:val="5"/>
    </w:pPr>
    <w:rPr>
      <w:rFonts w:asciiTheme="majorHAnsi" w:eastAsiaTheme="majorEastAsia" w:hAnsiTheme="majorHAnsi" w:cstheme="majorBidi"/>
      <w:i/>
      <w:iCs/>
      <w:color w:val="0D5571"/>
    </w:rPr>
  </w:style>
  <w:style w:type="paragraph" w:styleId="Nadpis7">
    <w:name w:val="heading 7"/>
    <w:link w:val="Nadpis7Char"/>
    <w:uiPriority w:val="9"/>
    <w:semiHidden/>
    <w:unhideWhenUsed/>
    <w:qFormat/>
    <w:rsid w:val="1EB3323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link w:val="Nadpis8Char"/>
    <w:uiPriority w:val="9"/>
    <w:semiHidden/>
    <w:unhideWhenUsed/>
    <w:qFormat/>
    <w:rsid w:val="1EB33230"/>
    <w:pPr>
      <w:keepNext/>
      <w:keepLines/>
      <w:spacing w:before="200" w:after="0"/>
      <w:outlineLvl w:val="7"/>
    </w:pPr>
    <w:rPr>
      <w:rFonts w:asciiTheme="majorHAnsi" w:eastAsiaTheme="majorEastAsia" w:hAnsiTheme="majorHAnsi" w:cstheme="majorBidi"/>
      <w:color w:val="1CADE4" w:themeColor="accent1"/>
    </w:rPr>
  </w:style>
  <w:style w:type="paragraph" w:styleId="Nadpis9">
    <w:name w:val="heading 9"/>
    <w:link w:val="Nadpis9Char"/>
    <w:uiPriority w:val="9"/>
    <w:semiHidden/>
    <w:unhideWhenUsed/>
    <w:qFormat/>
    <w:rsid w:val="1EB33230"/>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link w:val="ZhlavChar"/>
    <w:uiPriority w:val="99"/>
    <w:unhideWhenUsed/>
    <w:rsid w:val="1EB33230"/>
    <w:pPr>
      <w:tabs>
        <w:tab w:val="center" w:pos="4680"/>
        <w:tab w:val="right" w:pos="9360"/>
      </w:tabs>
      <w:spacing w:after="0" w:line="240" w:lineRule="auto"/>
    </w:pPr>
  </w:style>
  <w:style w:type="character" w:customStyle="1" w:styleId="ZhlavChar">
    <w:name w:val="Záhlaví Char"/>
    <w:link w:val="Zhlav"/>
    <w:uiPriority w:val="99"/>
    <w:rsid w:val="1EB33230"/>
  </w:style>
  <w:style w:type="paragraph" w:styleId="Zpat">
    <w:name w:val="footer"/>
    <w:link w:val="ZpatChar"/>
    <w:uiPriority w:val="99"/>
    <w:unhideWhenUsed/>
    <w:rsid w:val="1EB33230"/>
    <w:pPr>
      <w:tabs>
        <w:tab w:val="center" w:pos="4680"/>
        <w:tab w:val="right" w:pos="9360"/>
      </w:tabs>
      <w:spacing w:after="0" w:line="240" w:lineRule="auto"/>
    </w:pPr>
  </w:style>
  <w:style w:type="character" w:customStyle="1" w:styleId="ZpatChar">
    <w:name w:val="Zápatí Char"/>
    <w:link w:val="Zpat"/>
    <w:uiPriority w:val="99"/>
    <w:rsid w:val="1EB33230"/>
  </w:style>
  <w:style w:type="paragraph" w:styleId="Bezmezer">
    <w:name w:val="No Spacing"/>
    <w:link w:val="BezmezerChar"/>
    <w:uiPriority w:val="1"/>
    <w:qFormat/>
    <w:rsid w:val="00FC693F"/>
    <w:pPr>
      <w:spacing w:after="0" w:line="240" w:lineRule="auto"/>
    </w:pPr>
  </w:style>
  <w:style w:type="character" w:customStyle="1" w:styleId="Nadpis1Char">
    <w:name w:val="Nadpis 1 Char"/>
    <w:link w:val="Nadpis1"/>
    <w:uiPriority w:val="9"/>
    <w:rsid w:val="1EB33230"/>
    <w:rPr>
      <w:rFonts w:asciiTheme="majorHAnsi" w:eastAsiaTheme="majorEastAsia" w:hAnsiTheme="majorHAnsi" w:cstheme="majorBidi"/>
      <w:b/>
      <w:bCs/>
      <w:color w:val="1481AB" w:themeColor="accent1" w:themeShade="BF"/>
      <w:sz w:val="28"/>
      <w:szCs w:val="28"/>
    </w:rPr>
  </w:style>
  <w:style w:type="character" w:customStyle="1" w:styleId="Nadpis2Char">
    <w:name w:val="Nadpis 2 Char"/>
    <w:link w:val="Nadpis2"/>
    <w:uiPriority w:val="9"/>
    <w:rsid w:val="1EB33230"/>
    <w:rPr>
      <w:rFonts w:asciiTheme="majorHAnsi" w:eastAsiaTheme="majorEastAsia" w:hAnsiTheme="majorHAnsi" w:cstheme="majorBidi"/>
      <w:b/>
      <w:bCs/>
      <w:color w:val="1CADE4" w:themeColor="accent1"/>
      <w:sz w:val="26"/>
      <w:szCs w:val="26"/>
    </w:rPr>
  </w:style>
  <w:style w:type="character" w:customStyle="1" w:styleId="Nadpis3Char">
    <w:name w:val="Nadpis 3 Char"/>
    <w:link w:val="Nadpis3"/>
    <w:uiPriority w:val="9"/>
    <w:rsid w:val="1EB33230"/>
    <w:rPr>
      <w:rFonts w:asciiTheme="majorHAnsi" w:eastAsiaTheme="majorEastAsia" w:hAnsiTheme="majorHAnsi" w:cstheme="majorBidi"/>
      <w:b/>
      <w:bCs/>
      <w:color w:val="1CADE4" w:themeColor="accent1"/>
    </w:rPr>
  </w:style>
  <w:style w:type="paragraph" w:styleId="Nzev">
    <w:name w:val="Title"/>
    <w:link w:val="NzevChar"/>
    <w:uiPriority w:val="10"/>
    <w:qFormat/>
    <w:rsid w:val="1EB33230"/>
    <w:pPr>
      <w:pBdr>
        <w:bottom w:val="single" w:sz="8" w:space="4" w:color="1CADE4" w:themeColor="accent1"/>
      </w:pBdr>
      <w:spacing w:after="300" w:line="240" w:lineRule="auto"/>
      <w:contextualSpacing/>
    </w:pPr>
    <w:rPr>
      <w:rFonts w:asciiTheme="majorHAnsi" w:eastAsiaTheme="majorEastAsia" w:hAnsiTheme="majorHAnsi" w:cstheme="majorBidi"/>
      <w:color w:val="264356" w:themeColor="text2" w:themeShade="BF"/>
      <w:sz w:val="52"/>
      <w:szCs w:val="52"/>
    </w:rPr>
  </w:style>
  <w:style w:type="character" w:customStyle="1" w:styleId="NzevChar">
    <w:name w:val="Název Char"/>
    <w:link w:val="Nzev"/>
    <w:uiPriority w:val="10"/>
    <w:rsid w:val="1EB33230"/>
    <w:rPr>
      <w:rFonts w:asciiTheme="majorHAnsi" w:eastAsiaTheme="majorEastAsia" w:hAnsiTheme="majorHAnsi" w:cstheme="majorBidi"/>
      <w:color w:val="264356" w:themeColor="text2" w:themeShade="BF"/>
      <w:sz w:val="52"/>
      <w:szCs w:val="52"/>
    </w:rPr>
  </w:style>
  <w:style w:type="paragraph" w:styleId="Podnadpis">
    <w:name w:val="Subtitle"/>
    <w:link w:val="PodnadpisChar"/>
    <w:uiPriority w:val="11"/>
    <w:qFormat/>
    <w:rsid w:val="1EB33230"/>
    <w:rPr>
      <w:rFonts w:asciiTheme="majorHAnsi" w:eastAsiaTheme="majorEastAsia" w:hAnsiTheme="majorHAnsi" w:cstheme="majorBidi"/>
      <w:i/>
      <w:iCs/>
      <w:color w:val="1CADE4" w:themeColor="accent1"/>
      <w:sz w:val="24"/>
      <w:szCs w:val="24"/>
    </w:rPr>
  </w:style>
  <w:style w:type="character" w:customStyle="1" w:styleId="PodnadpisChar">
    <w:name w:val="Podnadpis Char"/>
    <w:link w:val="Podnadpis"/>
    <w:uiPriority w:val="11"/>
    <w:rsid w:val="1EB33230"/>
    <w:rPr>
      <w:rFonts w:asciiTheme="majorHAnsi" w:eastAsiaTheme="majorEastAsia" w:hAnsiTheme="majorHAnsi" w:cstheme="majorBidi"/>
      <w:i/>
      <w:iCs/>
      <w:color w:val="1CADE4" w:themeColor="accent1"/>
      <w:sz w:val="24"/>
      <w:szCs w:val="24"/>
    </w:rPr>
  </w:style>
  <w:style w:type="paragraph" w:styleId="Odstavecseseznamem">
    <w:name w:val="List Paragraph"/>
    <w:uiPriority w:val="34"/>
    <w:qFormat/>
    <w:rsid w:val="1EB33230"/>
    <w:pPr>
      <w:ind w:left="720"/>
      <w:contextualSpacing/>
    </w:pPr>
  </w:style>
  <w:style w:type="paragraph" w:styleId="Zkladntext">
    <w:name w:val="Body Text"/>
    <w:link w:val="ZkladntextChar"/>
    <w:uiPriority w:val="99"/>
    <w:unhideWhenUsed/>
    <w:rsid w:val="1EB33230"/>
  </w:style>
  <w:style w:type="character" w:customStyle="1" w:styleId="ZkladntextChar">
    <w:name w:val="Základní text Char"/>
    <w:link w:val="Zkladntext"/>
    <w:uiPriority w:val="99"/>
    <w:rsid w:val="1EB33230"/>
  </w:style>
  <w:style w:type="paragraph" w:styleId="Zkladntext2">
    <w:name w:val="Body Text 2"/>
    <w:link w:val="Zkladntext2Char"/>
    <w:uiPriority w:val="99"/>
    <w:unhideWhenUsed/>
    <w:rsid w:val="1EB33230"/>
    <w:pPr>
      <w:spacing w:line="480" w:lineRule="auto"/>
    </w:pPr>
  </w:style>
  <w:style w:type="character" w:customStyle="1" w:styleId="Zkladntext2Char">
    <w:name w:val="Základní text 2 Char"/>
    <w:link w:val="Zkladntext2"/>
    <w:uiPriority w:val="99"/>
    <w:rsid w:val="1EB33230"/>
  </w:style>
  <w:style w:type="paragraph" w:styleId="Zkladntext3">
    <w:name w:val="Body Text 3"/>
    <w:link w:val="Zkladntext3Char"/>
    <w:uiPriority w:val="99"/>
    <w:unhideWhenUsed/>
    <w:rsid w:val="1EB33230"/>
    <w:rPr>
      <w:sz w:val="16"/>
      <w:szCs w:val="16"/>
    </w:rPr>
  </w:style>
  <w:style w:type="character" w:customStyle="1" w:styleId="Zkladntext3Char">
    <w:name w:val="Základní text 3 Char"/>
    <w:link w:val="Zkladntext3"/>
    <w:uiPriority w:val="99"/>
    <w:rsid w:val="1EB33230"/>
    <w:rPr>
      <w:sz w:val="16"/>
      <w:szCs w:val="16"/>
    </w:rPr>
  </w:style>
  <w:style w:type="paragraph" w:styleId="Seznam">
    <w:name w:val="List"/>
    <w:uiPriority w:val="99"/>
    <w:unhideWhenUsed/>
    <w:rsid w:val="1EB33230"/>
    <w:pPr>
      <w:ind w:left="360" w:hanging="360"/>
      <w:contextualSpacing/>
    </w:pPr>
  </w:style>
  <w:style w:type="paragraph" w:styleId="Seznam2">
    <w:name w:val="List 2"/>
    <w:uiPriority w:val="99"/>
    <w:unhideWhenUsed/>
    <w:rsid w:val="1EB33230"/>
    <w:pPr>
      <w:ind w:left="720" w:hanging="360"/>
      <w:contextualSpacing/>
    </w:pPr>
  </w:style>
  <w:style w:type="paragraph" w:styleId="Seznam3">
    <w:name w:val="List 3"/>
    <w:uiPriority w:val="99"/>
    <w:unhideWhenUsed/>
    <w:rsid w:val="1EB33230"/>
    <w:pPr>
      <w:ind w:left="1080" w:hanging="360"/>
      <w:contextualSpacing/>
    </w:pPr>
  </w:style>
  <w:style w:type="paragraph" w:styleId="Seznamsodrkami">
    <w:name w:val="List Bullet"/>
    <w:uiPriority w:val="99"/>
    <w:unhideWhenUsed/>
    <w:rsid w:val="1EB33230"/>
    <w:pPr>
      <w:numPr>
        <w:numId w:val="11"/>
      </w:numPr>
      <w:contextualSpacing/>
    </w:pPr>
  </w:style>
  <w:style w:type="paragraph" w:styleId="Seznamsodrkami2">
    <w:name w:val="List Bullet 2"/>
    <w:uiPriority w:val="99"/>
    <w:unhideWhenUsed/>
    <w:rsid w:val="1EB33230"/>
    <w:pPr>
      <w:numPr>
        <w:numId w:val="12"/>
      </w:numPr>
      <w:contextualSpacing/>
    </w:pPr>
  </w:style>
  <w:style w:type="paragraph" w:styleId="Seznamsodrkami3">
    <w:name w:val="List Bullet 3"/>
    <w:uiPriority w:val="99"/>
    <w:unhideWhenUsed/>
    <w:rsid w:val="1EB33230"/>
    <w:pPr>
      <w:numPr>
        <w:numId w:val="13"/>
      </w:numPr>
      <w:contextualSpacing/>
    </w:pPr>
  </w:style>
  <w:style w:type="paragraph" w:styleId="slovanseznam">
    <w:name w:val="List Number"/>
    <w:uiPriority w:val="99"/>
    <w:unhideWhenUsed/>
    <w:rsid w:val="1EB33230"/>
    <w:pPr>
      <w:numPr>
        <w:numId w:val="15"/>
      </w:numPr>
      <w:contextualSpacing/>
    </w:pPr>
  </w:style>
  <w:style w:type="paragraph" w:styleId="slovanseznam2">
    <w:name w:val="List Number 2"/>
    <w:uiPriority w:val="99"/>
    <w:unhideWhenUsed/>
    <w:rsid w:val="1EB33230"/>
    <w:pPr>
      <w:numPr>
        <w:numId w:val="16"/>
      </w:numPr>
      <w:contextualSpacing/>
    </w:pPr>
  </w:style>
  <w:style w:type="paragraph" w:styleId="slovanseznam3">
    <w:name w:val="List Number 3"/>
    <w:uiPriority w:val="99"/>
    <w:unhideWhenUsed/>
    <w:rsid w:val="1EB33230"/>
    <w:pPr>
      <w:numPr>
        <w:numId w:val="17"/>
      </w:numPr>
      <w:contextualSpacing/>
    </w:pPr>
  </w:style>
  <w:style w:type="paragraph" w:styleId="Pokraovnseznamu">
    <w:name w:val="List Continue"/>
    <w:uiPriority w:val="99"/>
    <w:unhideWhenUsed/>
    <w:rsid w:val="1EB33230"/>
    <w:pPr>
      <w:ind w:left="360"/>
      <w:contextualSpacing/>
    </w:pPr>
  </w:style>
  <w:style w:type="paragraph" w:styleId="Pokraovnseznamu2">
    <w:name w:val="List Continue 2"/>
    <w:uiPriority w:val="99"/>
    <w:unhideWhenUsed/>
    <w:rsid w:val="1EB33230"/>
    <w:pPr>
      <w:ind w:left="720"/>
      <w:contextualSpacing/>
    </w:pPr>
  </w:style>
  <w:style w:type="paragraph" w:styleId="Pokraovnseznamu3">
    <w:name w:val="List Continue 3"/>
    <w:uiPriority w:val="99"/>
    <w:unhideWhenUsed/>
    <w:rsid w:val="1EB33230"/>
    <w:pPr>
      <w:ind w:left="1080"/>
      <w:contextualSpacing/>
    </w:pPr>
  </w:style>
  <w:style w:type="paragraph" w:styleId="Textmakra">
    <w:name w:val="macro"/>
    <w:link w:val="Textmakra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makraChar">
    <w:name w:val="Text makra Char"/>
    <w:link w:val="Textmakra"/>
    <w:uiPriority w:val="99"/>
    <w:rsid w:val="1EB33230"/>
    <w:rPr>
      <w:rFonts w:ascii="Courier" w:hAnsi="Courier"/>
      <w:sz w:val="20"/>
      <w:szCs w:val="20"/>
    </w:rPr>
  </w:style>
  <w:style w:type="paragraph" w:styleId="Citt">
    <w:name w:val="Quote"/>
    <w:link w:val="CittChar"/>
    <w:uiPriority w:val="29"/>
    <w:qFormat/>
    <w:rsid w:val="1EB33230"/>
    <w:rPr>
      <w:i/>
      <w:iCs/>
      <w:color w:val="000000" w:themeColor="text1"/>
    </w:rPr>
  </w:style>
  <w:style w:type="character" w:customStyle="1" w:styleId="CittChar">
    <w:name w:val="Citát Char"/>
    <w:link w:val="Citt"/>
    <w:uiPriority w:val="29"/>
    <w:rsid w:val="1EB33230"/>
    <w:rPr>
      <w:i/>
      <w:iCs/>
      <w:color w:val="000000" w:themeColor="text1"/>
    </w:rPr>
  </w:style>
  <w:style w:type="character" w:customStyle="1" w:styleId="Nadpis4Char">
    <w:name w:val="Nadpis 4 Char"/>
    <w:link w:val="Nadpis4"/>
    <w:uiPriority w:val="9"/>
    <w:semiHidden/>
    <w:rsid w:val="1EB33230"/>
    <w:rPr>
      <w:rFonts w:asciiTheme="majorHAnsi" w:eastAsiaTheme="majorEastAsia" w:hAnsiTheme="majorHAnsi" w:cstheme="majorBidi"/>
      <w:b/>
      <w:bCs/>
      <w:i/>
      <w:iCs/>
      <w:color w:val="1CADE4" w:themeColor="accent1"/>
    </w:rPr>
  </w:style>
  <w:style w:type="character" w:customStyle="1" w:styleId="Nadpis5Char">
    <w:name w:val="Nadpis 5 Char"/>
    <w:link w:val="Nadpis5"/>
    <w:uiPriority w:val="9"/>
    <w:semiHidden/>
    <w:rsid w:val="1EB33230"/>
    <w:rPr>
      <w:rFonts w:asciiTheme="majorHAnsi" w:eastAsiaTheme="majorEastAsia" w:hAnsiTheme="majorHAnsi" w:cstheme="majorBidi"/>
      <w:color w:val="0D5571"/>
    </w:rPr>
  </w:style>
  <w:style w:type="character" w:customStyle="1" w:styleId="Nadpis6Char">
    <w:name w:val="Nadpis 6 Char"/>
    <w:link w:val="Nadpis6"/>
    <w:uiPriority w:val="9"/>
    <w:semiHidden/>
    <w:rsid w:val="1EB33230"/>
    <w:rPr>
      <w:rFonts w:asciiTheme="majorHAnsi" w:eastAsiaTheme="majorEastAsia" w:hAnsiTheme="majorHAnsi" w:cstheme="majorBidi"/>
      <w:i/>
      <w:iCs/>
      <w:color w:val="0D5571"/>
    </w:rPr>
  </w:style>
  <w:style w:type="character" w:customStyle="1" w:styleId="Nadpis7Char">
    <w:name w:val="Nadpis 7 Char"/>
    <w:link w:val="Nadpis7"/>
    <w:uiPriority w:val="9"/>
    <w:semiHidden/>
    <w:rsid w:val="1EB33230"/>
    <w:rPr>
      <w:rFonts w:asciiTheme="majorHAnsi" w:eastAsiaTheme="majorEastAsia" w:hAnsiTheme="majorHAnsi" w:cstheme="majorBidi"/>
      <w:i/>
      <w:iCs/>
      <w:color w:val="404040" w:themeColor="text1" w:themeTint="BF"/>
    </w:rPr>
  </w:style>
  <w:style w:type="character" w:customStyle="1" w:styleId="Nadpis8Char">
    <w:name w:val="Nadpis 8 Char"/>
    <w:link w:val="Nadpis8"/>
    <w:uiPriority w:val="9"/>
    <w:semiHidden/>
    <w:rsid w:val="1EB33230"/>
    <w:rPr>
      <w:rFonts w:asciiTheme="majorHAnsi" w:eastAsiaTheme="majorEastAsia" w:hAnsiTheme="majorHAnsi" w:cstheme="majorBidi"/>
      <w:color w:val="1CADE4" w:themeColor="accent1"/>
      <w:sz w:val="20"/>
      <w:szCs w:val="20"/>
    </w:rPr>
  </w:style>
  <w:style w:type="character" w:customStyle="1" w:styleId="Nadpis9Char">
    <w:name w:val="Nadpis 9 Char"/>
    <w:link w:val="Nadpis9"/>
    <w:uiPriority w:val="9"/>
    <w:semiHidden/>
    <w:rsid w:val="1EB33230"/>
    <w:rPr>
      <w:rFonts w:asciiTheme="majorHAnsi" w:eastAsiaTheme="majorEastAsia" w:hAnsiTheme="majorHAnsi" w:cstheme="majorBidi"/>
      <w:i/>
      <w:iCs/>
      <w:color w:val="404040" w:themeColor="text1" w:themeTint="BF"/>
      <w:sz w:val="20"/>
      <w:szCs w:val="20"/>
    </w:rPr>
  </w:style>
  <w:style w:type="paragraph" w:styleId="Titulek">
    <w:name w:val="caption"/>
    <w:uiPriority w:val="35"/>
    <w:semiHidden/>
    <w:unhideWhenUsed/>
    <w:qFormat/>
    <w:rsid w:val="1EB33230"/>
    <w:pPr>
      <w:spacing w:line="240" w:lineRule="auto"/>
    </w:pPr>
    <w:rPr>
      <w:b/>
      <w:bCs/>
      <w:color w:val="1CADE4" w:themeColor="accent1"/>
      <w:sz w:val="18"/>
      <w:szCs w:val="18"/>
    </w:rPr>
  </w:style>
  <w:style w:type="character" w:styleId="Siln">
    <w:name w:val="Strong"/>
    <w:uiPriority w:val="22"/>
    <w:qFormat/>
    <w:rsid w:val="1EB33230"/>
    <w:rPr>
      <w:b/>
      <w:bCs/>
    </w:rPr>
  </w:style>
  <w:style w:type="character" w:styleId="Zdraznn">
    <w:name w:val="Emphasis"/>
    <w:uiPriority w:val="20"/>
    <w:qFormat/>
    <w:rsid w:val="1EB33230"/>
    <w:rPr>
      <w:i/>
      <w:iCs/>
    </w:rPr>
  </w:style>
  <w:style w:type="paragraph" w:styleId="Vrazncitt">
    <w:name w:val="Intense Quote"/>
    <w:link w:val="VrazncittChar"/>
    <w:uiPriority w:val="30"/>
    <w:qFormat/>
    <w:rsid w:val="1EB33230"/>
    <w:pPr>
      <w:pBdr>
        <w:bottom w:val="single" w:sz="4" w:space="4" w:color="1CADE4" w:themeColor="accent1"/>
      </w:pBdr>
      <w:spacing w:before="200" w:after="280"/>
      <w:ind w:left="936" w:right="936"/>
    </w:pPr>
    <w:rPr>
      <w:b/>
      <w:bCs/>
      <w:i/>
      <w:iCs/>
      <w:color w:val="1CADE4" w:themeColor="accent1"/>
    </w:rPr>
  </w:style>
  <w:style w:type="character" w:customStyle="1" w:styleId="VrazncittChar">
    <w:name w:val="Výrazný citát Char"/>
    <w:link w:val="Vrazncitt"/>
    <w:uiPriority w:val="30"/>
    <w:rsid w:val="1EB33230"/>
    <w:rPr>
      <w:b/>
      <w:bCs/>
      <w:i/>
      <w:iCs/>
      <w:color w:val="1CADE4" w:themeColor="accent1"/>
    </w:rPr>
  </w:style>
  <w:style w:type="character" w:styleId="Zdraznnjemn">
    <w:name w:val="Subtle Emphasis"/>
    <w:uiPriority w:val="19"/>
    <w:qFormat/>
    <w:rsid w:val="1EB33230"/>
    <w:rPr>
      <w:i/>
      <w:iCs/>
      <w:color w:val="808080" w:themeColor="background1" w:themeShade="80"/>
    </w:rPr>
  </w:style>
  <w:style w:type="character" w:styleId="Zdraznnintenzivn">
    <w:name w:val="Intense Emphasis"/>
    <w:uiPriority w:val="21"/>
    <w:qFormat/>
    <w:rsid w:val="1EB33230"/>
    <w:rPr>
      <w:b/>
      <w:bCs/>
      <w:i/>
      <w:iCs/>
      <w:color w:val="1CADE4" w:themeColor="accent1"/>
    </w:rPr>
  </w:style>
  <w:style w:type="character" w:styleId="Odkazjemn">
    <w:name w:val="Subtle Reference"/>
    <w:uiPriority w:val="31"/>
    <w:qFormat/>
    <w:rsid w:val="1EB33230"/>
    <w:rPr>
      <w:smallCaps/>
      <w:color w:val="2683C6" w:themeColor="accent2"/>
      <w:u w:val="single"/>
    </w:rPr>
  </w:style>
  <w:style w:type="character" w:styleId="Odkazintenzivn">
    <w:name w:val="Intense Reference"/>
    <w:uiPriority w:val="32"/>
    <w:qFormat/>
    <w:rsid w:val="1EB33230"/>
    <w:rPr>
      <w:b/>
      <w:bCs/>
      <w:smallCaps/>
      <w:color w:val="2683C6" w:themeColor="accent2"/>
      <w:u w:val="single"/>
    </w:rPr>
  </w:style>
  <w:style w:type="character" w:styleId="Nzevknihy">
    <w:name w:val="Book Title"/>
    <w:uiPriority w:val="33"/>
    <w:qFormat/>
    <w:rsid w:val="1EB33230"/>
    <w:rPr>
      <w:b/>
      <w:bCs/>
      <w:smallCaps/>
    </w:rPr>
  </w:style>
  <w:style w:type="paragraph" w:styleId="Nadpisobsahu">
    <w:name w:val="TOC Heading"/>
    <w:basedOn w:val="Nadpis1"/>
    <w:next w:val="Normln"/>
    <w:uiPriority w:val="39"/>
    <w:unhideWhenUsed/>
    <w:qFormat/>
    <w:rsid w:val="00FC693F"/>
    <w:pPr>
      <w:outlineLvl w:val="9"/>
    </w:pPr>
  </w:style>
  <w:style w:type="table" w:styleId="Mkatabulky">
    <w:name w:val="Table Grid"/>
    <w:basedOn w:val="Normlntabulka"/>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stnovn">
    <w:name w:val="Light Shading"/>
    <w:basedOn w:val="Normlntabulka"/>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tlstnovnzvraznn1">
    <w:name w:val="Light Shading Accent 1"/>
    <w:basedOn w:val="Normlntabulka"/>
    <w:uiPriority w:val="60"/>
    <w:rsid w:val="00FC693F"/>
    <w:pPr>
      <w:spacing w:after="0" w:line="240" w:lineRule="auto"/>
    </w:pPr>
    <w:rPr>
      <w:color w:val="1481AB" w:themeColor="accent1" w:themeShade="BF"/>
    </w:rPr>
    <w:tblPr>
      <w:tblStyleRowBandSize w:val="1"/>
      <w:tblStyleColBandSize w:val="1"/>
      <w:tblBorders>
        <w:top w:val="single" w:sz="8" w:space="0" w:color="1CADE4" w:themeColor="accent1"/>
        <w:bottom w:val="single" w:sz="8" w:space="0" w:color="1CADE4" w:themeColor="accent1"/>
      </w:tblBorders>
    </w:tblPr>
    <w:tblStylePr w:type="firstRow">
      <w:pPr>
        <w:spacing w:before="0" w:after="0" w:line="240" w:lineRule="auto"/>
      </w:pPr>
      <w:rPr>
        <w:b/>
        <w:bCs/>
      </w:rPr>
      <w:tblPr/>
      <w:tcPr>
        <w:tcBorders>
          <w:top w:val="single" w:sz="8" w:space="0" w:color="1CADE4" w:themeColor="accent1"/>
          <w:left w:val="nil"/>
          <w:bottom w:val="single" w:sz="8" w:space="0" w:color="1CADE4" w:themeColor="accent1"/>
          <w:right w:val="nil"/>
          <w:insideH w:val="nil"/>
          <w:insideV w:val="nil"/>
        </w:tcBorders>
      </w:tcPr>
    </w:tblStylePr>
    <w:tblStylePr w:type="lastRow">
      <w:pPr>
        <w:spacing w:before="0" w:after="0" w:line="240" w:lineRule="auto"/>
      </w:pPr>
      <w:rPr>
        <w:b/>
        <w:bCs/>
      </w:rPr>
      <w:tblPr/>
      <w:tcPr>
        <w:tcBorders>
          <w:top w:val="single" w:sz="8" w:space="0" w:color="1CADE4" w:themeColor="accent1"/>
          <w:left w:val="nil"/>
          <w:bottom w:val="single" w:sz="8" w:space="0" w:color="1CADE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6EAF8" w:themeFill="accent1" w:themeFillTint="3F"/>
      </w:tcPr>
    </w:tblStylePr>
    <w:tblStylePr w:type="band1Horz">
      <w:tblPr/>
      <w:tcPr>
        <w:tcBorders>
          <w:left w:val="nil"/>
          <w:right w:val="nil"/>
          <w:insideH w:val="nil"/>
          <w:insideV w:val="nil"/>
        </w:tcBorders>
        <w:shd w:val="clear" w:color="auto" w:fill="C6EAF8" w:themeFill="accent1" w:themeFillTint="3F"/>
      </w:tcPr>
    </w:tblStylePr>
  </w:style>
  <w:style w:type="table" w:styleId="Svtlstnovnzvraznn2">
    <w:name w:val="Light Shading Accent 2"/>
    <w:basedOn w:val="Normlntabulka"/>
    <w:uiPriority w:val="60"/>
    <w:rsid w:val="00FC693F"/>
    <w:pPr>
      <w:spacing w:after="0" w:line="240" w:lineRule="auto"/>
    </w:pPr>
    <w:rPr>
      <w:color w:val="1C6194" w:themeColor="accent2" w:themeShade="BF"/>
    </w:rPr>
    <w:tblPr>
      <w:tblStyleRowBandSize w:val="1"/>
      <w:tblStyleColBandSize w:val="1"/>
      <w:tblBorders>
        <w:top w:val="single" w:sz="8" w:space="0" w:color="2683C6" w:themeColor="accent2"/>
        <w:bottom w:val="single" w:sz="8" w:space="0" w:color="2683C6" w:themeColor="accent2"/>
      </w:tblBorders>
    </w:tblPr>
    <w:tblStylePr w:type="firstRow">
      <w:pPr>
        <w:spacing w:before="0" w:after="0" w:line="240" w:lineRule="auto"/>
      </w:pPr>
      <w:rPr>
        <w:b/>
        <w:bCs/>
      </w:rPr>
      <w:tblPr/>
      <w:tcPr>
        <w:tcBorders>
          <w:top w:val="single" w:sz="8" w:space="0" w:color="2683C6" w:themeColor="accent2"/>
          <w:left w:val="nil"/>
          <w:bottom w:val="single" w:sz="8" w:space="0" w:color="2683C6" w:themeColor="accent2"/>
          <w:right w:val="nil"/>
          <w:insideH w:val="nil"/>
          <w:insideV w:val="nil"/>
        </w:tcBorders>
      </w:tcPr>
    </w:tblStylePr>
    <w:tblStylePr w:type="lastRow">
      <w:pPr>
        <w:spacing w:before="0" w:after="0" w:line="240" w:lineRule="auto"/>
      </w:pPr>
      <w:rPr>
        <w:b/>
        <w:bCs/>
      </w:rPr>
      <w:tblPr/>
      <w:tcPr>
        <w:tcBorders>
          <w:top w:val="single" w:sz="8" w:space="0" w:color="2683C6" w:themeColor="accent2"/>
          <w:left w:val="nil"/>
          <w:bottom w:val="single" w:sz="8" w:space="0" w:color="2683C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5E0F4" w:themeFill="accent2" w:themeFillTint="3F"/>
      </w:tcPr>
    </w:tblStylePr>
    <w:tblStylePr w:type="band1Horz">
      <w:tblPr/>
      <w:tcPr>
        <w:tcBorders>
          <w:left w:val="nil"/>
          <w:right w:val="nil"/>
          <w:insideH w:val="nil"/>
          <w:insideV w:val="nil"/>
        </w:tcBorders>
        <w:shd w:val="clear" w:color="auto" w:fill="C5E0F4" w:themeFill="accent2" w:themeFillTint="3F"/>
      </w:tcPr>
    </w:tblStylePr>
  </w:style>
  <w:style w:type="table" w:styleId="Svtlstnovnzvraznn3">
    <w:name w:val="Light Shading Accent 3"/>
    <w:basedOn w:val="Normlntabulka"/>
    <w:uiPriority w:val="60"/>
    <w:rsid w:val="00FC693F"/>
    <w:pPr>
      <w:spacing w:after="0" w:line="240" w:lineRule="auto"/>
    </w:pPr>
    <w:rPr>
      <w:color w:val="1D99A0" w:themeColor="accent3" w:themeShade="BF"/>
    </w:rPr>
    <w:tblPr>
      <w:tblStyleRowBandSize w:val="1"/>
      <w:tblStyleColBandSize w:val="1"/>
      <w:tblBorders>
        <w:top w:val="single" w:sz="8" w:space="0" w:color="27CED7" w:themeColor="accent3"/>
        <w:bottom w:val="single" w:sz="8" w:space="0" w:color="27CED7" w:themeColor="accent3"/>
      </w:tblBorders>
    </w:tblPr>
    <w:tblStylePr w:type="firstRow">
      <w:pPr>
        <w:spacing w:before="0" w:after="0" w:line="240" w:lineRule="auto"/>
      </w:pPr>
      <w:rPr>
        <w:b/>
        <w:bCs/>
      </w:rPr>
      <w:tblPr/>
      <w:tcPr>
        <w:tcBorders>
          <w:top w:val="single" w:sz="8" w:space="0" w:color="27CED7" w:themeColor="accent3"/>
          <w:left w:val="nil"/>
          <w:bottom w:val="single" w:sz="8" w:space="0" w:color="27CED7" w:themeColor="accent3"/>
          <w:right w:val="nil"/>
          <w:insideH w:val="nil"/>
          <w:insideV w:val="nil"/>
        </w:tcBorders>
      </w:tcPr>
    </w:tblStylePr>
    <w:tblStylePr w:type="lastRow">
      <w:pPr>
        <w:spacing w:before="0" w:after="0" w:line="240" w:lineRule="auto"/>
      </w:pPr>
      <w:rPr>
        <w:b/>
        <w:bCs/>
      </w:rPr>
      <w:tblPr/>
      <w:tcPr>
        <w:tcBorders>
          <w:top w:val="single" w:sz="8" w:space="0" w:color="27CED7" w:themeColor="accent3"/>
          <w:left w:val="nil"/>
          <w:bottom w:val="single" w:sz="8" w:space="0" w:color="27CED7"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F2F5" w:themeFill="accent3" w:themeFillTint="3F"/>
      </w:tcPr>
    </w:tblStylePr>
    <w:tblStylePr w:type="band1Horz">
      <w:tblPr/>
      <w:tcPr>
        <w:tcBorders>
          <w:left w:val="nil"/>
          <w:right w:val="nil"/>
          <w:insideH w:val="nil"/>
          <w:insideV w:val="nil"/>
        </w:tcBorders>
        <w:shd w:val="clear" w:color="auto" w:fill="C9F2F5" w:themeFill="accent3" w:themeFillTint="3F"/>
      </w:tcPr>
    </w:tblStylePr>
  </w:style>
  <w:style w:type="table" w:styleId="Svtlstnovnzvraznn4">
    <w:name w:val="Light Shading Accent 4"/>
    <w:basedOn w:val="Normlntabulka"/>
    <w:uiPriority w:val="60"/>
    <w:rsid w:val="00FC693F"/>
    <w:pPr>
      <w:spacing w:after="0" w:line="240" w:lineRule="auto"/>
    </w:pPr>
    <w:rPr>
      <w:color w:val="318B70" w:themeColor="accent4" w:themeShade="BF"/>
    </w:rPr>
    <w:tblPr>
      <w:tblStyleRowBandSize w:val="1"/>
      <w:tblStyleColBandSize w:val="1"/>
      <w:tblBorders>
        <w:top w:val="single" w:sz="8" w:space="0" w:color="42BA97" w:themeColor="accent4"/>
        <w:bottom w:val="single" w:sz="8" w:space="0" w:color="42BA97" w:themeColor="accent4"/>
      </w:tblBorders>
    </w:tblPr>
    <w:tblStylePr w:type="firstRow">
      <w:pPr>
        <w:spacing w:before="0" w:after="0" w:line="240" w:lineRule="auto"/>
      </w:pPr>
      <w:rPr>
        <w:b/>
        <w:bCs/>
      </w:rPr>
      <w:tblPr/>
      <w:tcPr>
        <w:tcBorders>
          <w:top w:val="single" w:sz="8" w:space="0" w:color="42BA97" w:themeColor="accent4"/>
          <w:left w:val="nil"/>
          <w:bottom w:val="single" w:sz="8" w:space="0" w:color="42BA97" w:themeColor="accent4"/>
          <w:right w:val="nil"/>
          <w:insideH w:val="nil"/>
          <w:insideV w:val="nil"/>
        </w:tcBorders>
      </w:tcPr>
    </w:tblStylePr>
    <w:tblStylePr w:type="lastRow">
      <w:pPr>
        <w:spacing w:before="0" w:after="0" w:line="240" w:lineRule="auto"/>
      </w:pPr>
      <w:rPr>
        <w:b/>
        <w:bCs/>
      </w:rPr>
      <w:tblPr/>
      <w:tcPr>
        <w:tcBorders>
          <w:top w:val="single" w:sz="8" w:space="0" w:color="42BA97" w:themeColor="accent4"/>
          <w:left w:val="nil"/>
          <w:bottom w:val="single" w:sz="8" w:space="0" w:color="42BA9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EEE5" w:themeFill="accent4" w:themeFillTint="3F"/>
      </w:tcPr>
    </w:tblStylePr>
    <w:tblStylePr w:type="band1Horz">
      <w:tblPr/>
      <w:tcPr>
        <w:tcBorders>
          <w:left w:val="nil"/>
          <w:right w:val="nil"/>
          <w:insideH w:val="nil"/>
          <w:insideV w:val="nil"/>
        </w:tcBorders>
        <w:shd w:val="clear" w:color="auto" w:fill="CFEEE5" w:themeFill="accent4" w:themeFillTint="3F"/>
      </w:tcPr>
    </w:tblStylePr>
  </w:style>
  <w:style w:type="table" w:styleId="Svtlstnovnzvraznn5">
    <w:name w:val="Light Shading Accent 5"/>
    <w:basedOn w:val="Normlntabulka"/>
    <w:uiPriority w:val="60"/>
    <w:rsid w:val="00FC693F"/>
    <w:pPr>
      <w:spacing w:after="0" w:line="240" w:lineRule="auto"/>
    </w:pPr>
    <w:rPr>
      <w:color w:val="2E653E" w:themeColor="accent5" w:themeShade="BF"/>
    </w:rPr>
    <w:tblPr>
      <w:tblStyleRowBandSize w:val="1"/>
      <w:tblStyleColBandSize w:val="1"/>
      <w:tblBorders>
        <w:top w:val="single" w:sz="8" w:space="0" w:color="3E8853" w:themeColor="accent5"/>
        <w:bottom w:val="single" w:sz="8" w:space="0" w:color="3E8853" w:themeColor="accent5"/>
      </w:tblBorders>
    </w:tblPr>
    <w:tblStylePr w:type="firstRow">
      <w:pPr>
        <w:spacing w:before="0" w:after="0" w:line="240" w:lineRule="auto"/>
      </w:pPr>
      <w:rPr>
        <w:b/>
        <w:bCs/>
      </w:rPr>
      <w:tblPr/>
      <w:tcPr>
        <w:tcBorders>
          <w:top w:val="single" w:sz="8" w:space="0" w:color="3E8853" w:themeColor="accent5"/>
          <w:left w:val="nil"/>
          <w:bottom w:val="single" w:sz="8" w:space="0" w:color="3E8853" w:themeColor="accent5"/>
          <w:right w:val="nil"/>
          <w:insideH w:val="nil"/>
          <w:insideV w:val="nil"/>
        </w:tcBorders>
      </w:tcPr>
    </w:tblStylePr>
    <w:tblStylePr w:type="lastRow">
      <w:pPr>
        <w:spacing w:before="0" w:after="0" w:line="240" w:lineRule="auto"/>
      </w:pPr>
      <w:rPr>
        <w:b/>
        <w:bCs/>
      </w:rPr>
      <w:tblPr/>
      <w:tcPr>
        <w:tcBorders>
          <w:top w:val="single" w:sz="8" w:space="0" w:color="3E8853" w:themeColor="accent5"/>
          <w:left w:val="nil"/>
          <w:bottom w:val="single" w:sz="8" w:space="0" w:color="3E885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E6D2" w:themeFill="accent5" w:themeFillTint="3F"/>
      </w:tcPr>
    </w:tblStylePr>
    <w:tblStylePr w:type="band1Horz">
      <w:tblPr/>
      <w:tcPr>
        <w:tcBorders>
          <w:left w:val="nil"/>
          <w:right w:val="nil"/>
          <w:insideH w:val="nil"/>
          <w:insideV w:val="nil"/>
        </w:tcBorders>
        <w:shd w:val="clear" w:color="auto" w:fill="C9E6D2" w:themeFill="accent5" w:themeFillTint="3F"/>
      </w:tcPr>
    </w:tblStylePr>
  </w:style>
  <w:style w:type="table" w:styleId="Svtlstnovnzvraznn6">
    <w:name w:val="Light Shading Accent 6"/>
    <w:basedOn w:val="Normlntabulka"/>
    <w:uiPriority w:val="60"/>
    <w:rsid w:val="00FC693F"/>
    <w:pPr>
      <w:spacing w:after="0" w:line="240" w:lineRule="auto"/>
    </w:pPr>
    <w:rPr>
      <w:color w:val="487B77" w:themeColor="accent6" w:themeShade="BF"/>
    </w:rPr>
    <w:tblPr>
      <w:tblStyleRowBandSize w:val="1"/>
      <w:tblStyleColBandSize w:val="1"/>
      <w:tblBorders>
        <w:top w:val="single" w:sz="8" w:space="0" w:color="62A39F" w:themeColor="accent6"/>
        <w:bottom w:val="single" w:sz="8" w:space="0" w:color="62A39F" w:themeColor="accent6"/>
      </w:tblBorders>
    </w:tblPr>
    <w:tblStylePr w:type="firstRow">
      <w:pPr>
        <w:spacing w:before="0" w:after="0" w:line="240" w:lineRule="auto"/>
      </w:pPr>
      <w:rPr>
        <w:b/>
        <w:bCs/>
      </w:rPr>
      <w:tblPr/>
      <w:tcPr>
        <w:tcBorders>
          <w:top w:val="single" w:sz="8" w:space="0" w:color="62A39F" w:themeColor="accent6"/>
          <w:left w:val="nil"/>
          <w:bottom w:val="single" w:sz="8" w:space="0" w:color="62A39F" w:themeColor="accent6"/>
          <w:right w:val="nil"/>
          <w:insideH w:val="nil"/>
          <w:insideV w:val="nil"/>
        </w:tcBorders>
      </w:tcPr>
    </w:tblStylePr>
    <w:tblStylePr w:type="lastRow">
      <w:pPr>
        <w:spacing w:before="0" w:after="0" w:line="240" w:lineRule="auto"/>
      </w:pPr>
      <w:rPr>
        <w:b/>
        <w:bCs/>
      </w:rPr>
      <w:tblPr/>
      <w:tcPr>
        <w:tcBorders>
          <w:top w:val="single" w:sz="8" w:space="0" w:color="62A39F" w:themeColor="accent6"/>
          <w:left w:val="nil"/>
          <w:bottom w:val="single" w:sz="8" w:space="0" w:color="62A39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E8E7" w:themeFill="accent6" w:themeFillTint="3F"/>
      </w:tcPr>
    </w:tblStylePr>
    <w:tblStylePr w:type="band1Horz">
      <w:tblPr/>
      <w:tcPr>
        <w:tcBorders>
          <w:left w:val="nil"/>
          <w:right w:val="nil"/>
          <w:insideH w:val="nil"/>
          <w:insideV w:val="nil"/>
        </w:tcBorders>
        <w:shd w:val="clear" w:color="auto" w:fill="D8E8E7" w:themeFill="accent6" w:themeFillTint="3F"/>
      </w:tcPr>
    </w:tblStylePr>
  </w:style>
  <w:style w:type="table" w:styleId="Svtlseznam">
    <w:name w:val="Light List"/>
    <w:basedOn w:val="Normlntabulka"/>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tlseznamzvraznn1">
    <w:name w:val="Light List Accent 1"/>
    <w:basedOn w:val="Normlntabulka"/>
    <w:uiPriority w:val="61"/>
    <w:rsid w:val="00FC693F"/>
    <w:pPr>
      <w:spacing w:after="0" w:line="240" w:lineRule="auto"/>
    </w:p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tblBorders>
    </w:tblPr>
    <w:tblStylePr w:type="firstRow">
      <w:pPr>
        <w:spacing w:before="0" w:after="0" w:line="240" w:lineRule="auto"/>
      </w:pPr>
      <w:rPr>
        <w:b/>
        <w:bCs/>
        <w:color w:val="FFFFFF" w:themeColor="background1"/>
      </w:rPr>
      <w:tblPr/>
      <w:tcPr>
        <w:shd w:val="clear" w:color="auto" w:fill="1CADE4" w:themeFill="accent1"/>
      </w:tcPr>
    </w:tblStylePr>
    <w:tblStylePr w:type="lastRow">
      <w:pPr>
        <w:spacing w:before="0" w:after="0" w:line="240" w:lineRule="auto"/>
      </w:pPr>
      <w:rPr>
        <w:b/>
        <w:bCs/>
      </w:rPr>
      <w:tblPr/>
      <w:tcPr>
        <w:tcBorders>
          <w:top w:val="double" w:sz="6" w:space="0" w:color="1CADE4" w:themeColor="accent1"/>
          <w:left w:val="single" w:sz="8" w:space="0" w:color="1CADE4" w:themeColor="accent1"/>
          <w:bottom w:val="single" w:sz="8" w:space="0" w:color="1CADE4" w:themeColor="accent1"/>
          <w:right w:val="single" w:sz="8" w:space="0" w:color="1CADE4" w:themeColor="accent1"/>
        </w:tcBorders>
      </w:tcPr>
    </w:tblStylePr>
    <w:tblStylePr w:type="firstCol">
      <w:rPr>
        <w:b/>
        <w:bCs/>
      </w:rPr>
    </w:tblStylePr>
    <w:tblStylePr w:type="lastCol">
      <w:rPr>
        <w:b/>
        <w:bCs/>
      </w:rPr>
    </w:tblStylePr>
    <w:tblStylePr w:type="band1Vert">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tcPr>
    </w:tblStylePr>
    <w:tblStylePr w:type="band1Horz">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tcPr>
    </w:tblStylePr>
  </w:style>
  <w:style w:type="table" w:styleId="Svtlseznamzvraznn2">
    <w:name w:val="Light List Accent 2"/>
    <w:basedOn w:val="Normlntabulka"/>
    <w:uiPriority w:val="61"/>
    <w:rsid w:val="00CB0664"/>
    <w:pPr>
      <w:spacing w:after="0" w:line="240" w:lineRule="auto"/>
    </w:p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tblBorders>
    </w:tblPr>
    <w:tblStylePr w:type="firstRow">
      <w:pPr>
        <w:spacing w:before="0" w:after="0" w:line="240" w:lineRule="auto"/>
      </w:pPr>
      <w:rPr>
        <w:b/>
        <w:bCs/>
        <w:color w:val="FFFFFF" w:themeColor="background1"/>
      </w:rPr>
      <w:tblPr/>
      <w:tcPr>
        <w:shd w:val="clear" w:color="auto" w:fill="2683C6" w:themeFill="accent2"/>
      </w:tcPr>
    </w:tblStylePr>
    <w:tblStylePr w:type="lastRow">
      <w:pPr>
        <w:spacing w:before="0" w:after="0" w:line="240" w:lineRule="auto"/>
      </w:pPr>
      <w:rPr>
        <w:b/>
        <w:bCs/>
      </w:rPr>
      <w:tblPr/>
      <w:tcPr>
        <w:tcBorders>
          <w:top w:val="double" w:sz="6" w:space="0" w:color="2683C6" w:themeColor="accent2"/>
          <w:left w:val="single" w:sz="8" w:space="0" w:color="2683C6" w:themeColor="accent2"/>
          <w:bottom w:val="single" w:sz="8" w:space="0" w:color="2683C6" w:themeColor="accent2"/>
          <w:right w:val="single" w:sz="8" w:space="0" w:color="2683C6" w:themeColor="accent2"/>
        </w:tcBorders>
      </w:tcPr>
    </w:tblStylePr>
    <w:tblStylePr w:type="firstCol">
      <w:rPr>
        <w:b/>
        <w:bCs/>
      </w:rPr>
    </w:tblStylePr>
    <w:tblStylePr w:type="lastCol">
      <w:rPr>
        <w:b/>
        <w:bCs/>
      </w:rPr>
    </w:tblStylePr>
    <w:tblStylePr w:type="band1Vert">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tcPr>
    </w:tblStylePr>
    <w:tblStylePr w:type="band1Horz">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tcPr>
    </w:tblStylePr>
  </w:style>
  <w:style w:type="table" w:styleId="Svtlseznamzvraznn3">
    <w:name w:val="Light List Accent 3"/>
    <w:basedOn w:val="Normlntabulka"/>
    <w:uiPriority w:val="61"/>
    <w:rsid w:val="00CB0664"/>
    <w:pPr>
      <w:spacing w:after="0" w:line="240" w:lineRule="auto"/>
    </w:p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tblBorders>
    </w:tblPr>
    <w:tblStylePr w:type="firstRow">
      <w:pPr>
        <w:spacing w:before="0" w:after="0" w:line="240" w:lineRule="auto"/>
      </w:pPr>
      <w:rPr>
        <w:b/>
        <w:bCs/>
        <w:color w:val="FFFFFF" w:themeColor="background1"/>
      </w:rPr>
      <w:tblPr/>
      <w:tcPr>
        <w:shd w:val="clear" w:color="auto" w:fill="27CED7" w:themeFill="accent3"/>
      </w:tcPr>
    </w:tblStylePr>
    <w:tblStylePr w:type="lastRow">
      <w:pPr>
        <w:spacing w:before="0" w:after="0" w:line="240" w:lineRule="auto"/>
      </w:pPr>
      <w:rPr>
        <w:b/>
        <w:bCs/>
      </w:rPr>
      <w:tblPr/>
      <w:tcPr>
        <w:tcBorders>
          <w:top w:val="double" w:sz="6" w:space="0" w:color="27CED7" w:themeColor="accent3"/>
          <w:left w:val="single" w:sz="8" w:space="0" w:color="27CED7" w:themeColor="accent3"/>
          <w:bottom w:val="single" w:sz="8" w:space="0" w:color="27CED7" w:themeColor="accent3"/>
          <w:right w:val="single" w:sz="8" w:space="0" w:color="27CED7" w:themeColor="accent3"/>
        </w:tcBorders>
      </w:tcPr>
    </w:tblStylePr>
    <w:tblStylePr w:type="firstCol">
      <w:rPr>
        <w:b/>
        <w:bCs/>
      </w:rPr>
    </w:tblStylePr>
    <w:tblStylePr w:type="lastCol">
      <w:rPr>
        <w:b/>
        <w:bCs/>
      </w:rPr>
    </w:tblStylePr>
    <w:tblStylePr w:type="band1Vert">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tcPr>
    </w:tblStylePr>
    <w:tblStylePr w:type="band1Horz">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tcPr>
    </w:tblStylePr>
  </w:style>
  <w:style w:type="table" w:styleId="Svtlseznamzvraznn4">
    <w:name w:val="Light List Accent 4"/>
    <w:basedOn w:val="Normlntabulka"/>
    <w:uiPriority w:val="61"/>
    <w:rsid w:val="00CB0664"/>
    <w:pPr>
      <w:spacing w:after="0" w:line="240" w:lineRule="auto"/>
    </w:p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tblBorders>
    </w:tblPr>
    <w:tblStylePr w:type="firstRow">
      <w:pPr>
        <w:spacing w:before="0" w:after="0" w:line="240" w:lineRule="auto"/>
      </w:pPr>
      <w:rPr>
        <w:b/>
        <w:bCs/>
        <w:color w:val="FFFFFF" w:themeColor="background1"/>
      </w:rPr>
      <w:tblPr/>
      <w:tcPr>
        <w:shd w:val="clear" w:color="auto" w:fill="42BA97" w:themeFill="accent4"/>
      </w:tcPr>
    </w:tblStylePr>
    <w:tblStylePr w:type="lastRow">
      <w:pPr>
        <w:spacing w:before="0" w:after="0" w:line="240" w:lineRule="auto"/>
      </w:pPr>
      <w:rPr>
        <w:b/>
        <w:bCs/>
      </w:rPr>
      <w:tblPr/>
      <w:tcPr>
        <w:tcBorders>
          <w:top w:val="double" w:sz="6" w:space="0" w:color="42BA97" w:themeColor="accent4"/>
          <w:left w:val="single" w:sz="8" w:space="0" w:color="42BA97" w:themeColor="accent4"/>
          <w:bottom w:val="single" w:sz="8" w:space="0" w:color="42BA97" w:themeColor="accent4"/>
          <w:right w:val="single" w:sz="8" w:space="0" w:color="42BA97" w:themeColor="accent4"/>
        </w:tcBorders>
      </w:tcPr>
    </w:tblStylePr>
    <w:tblStylePr w:type="firstCol">
      <w:rPr>
        <w:b/>
        <w:bCs/>
      </w:rPr>
    </w:tblStylePr>
    <w:tblStylePr w:type="lastCol">
      <w:rPr>
        <w:b/>
        <w:bCs/>
      </w:rPr>
    </w:tblStylePr>
    <w:tblStylePr w:type="band1Vert">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tcPr>
    </w:tblStylePr>
    <w:tblStylePr w:type="band1Horz">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tcPr>
    </w:tblStylePr>
  </w:style>
  <w:style w:type="table" w:styleId="Svtlseznamzvraznn5">
    <w:name w:val="Light List Accent 5"/>
    <w:basedOn w:val="Normlntabulka"/>
    <w:uiPriority w:val="61"/>
    <w:rsid w:val="00CB0664"/>
    <w:pPr>
      <w:spacing w:after="0" w:line="240" w:lineRule="auto"/>
    </w:p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tblBorders>
    </w:tblPr>
    <w:tblStylePr w:type="firstRow">
      <w:pPr>
        <w:spacing w:before="0" w:after="0" w:line="240" w:lineRule="auto"/>
      </w:pPr>
      <w:rPr>
        <w:b/>
        <w:bCs/>
        <w:color w:val="FFFFFF" w:themeColor="background1"/>
      </w:rPr>
      <w:tblPr/>
      <w:tcPr>
        <w:shd w:val="clear" w:color="auto" w:fill="3E8853" w:themeFill="accent5"/>
      </w:tcPr>
    </w:tblStylePr>
    <w:tblStylePr w:type="lastRow">
      <w:pPr>
        <w:spacing w:before="0" w:after="0" w:line="240" w:lineRule="auto"/>
      </w:pPr>
      <w:rPr>
        <w:b/>
        <w:bCs/>
      </w:rPr>
      <w:tblPr/>
      <w:tcPr>
        <w:tcBorders>
          <w:top w:val="double" w:sz="6" w:space="0" w:color="3E8853" w:themeColor="accent5"/>
          <w:left w:val="single" w:sz="8" w:space="0" w:color="3E8853" w:themeColor="accent5"/>
          <w:bottom w:val="single" w:sz="8" w:space="0" w:color="3E8853" w:themeColor="accent5"/>
          <w:right w:val="single" w:sz="8" w:space="0" w:color="3E8853" w:themeColor="accent5"/>
        </w:tcBorders>
      </w:tcPr>
    </w:tblStylePr>
    <w:tblStylePr w:type="firstCol">
      <w:rPr>
        <w:b/>
        <w:bCs/>
      </w:rPr>
    </w:tblStylePr>
    <w:tblStylePr w:type="lastCol">
      <w:rPr>
        <w:b/>
        <w:bCs/>
      </w:rPr>
    </w:tblStylePr>
    <w:tblStylePr w:type="band1Vert">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tcPr>
    </w:tblStylePr>
    <w:tblStylePr w:type="band1Horz">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tcPr>
    </w:tblStylePr>
  </w:style>
  <w:style w:type="table" w:styleId="Svtlseznamzvraznn6">
    <w:name w:val="Light List Accent 6"/>
    <w:basedOn w:val="Normlntabulka"/>
    <w:uiPriority w:val="61"/>
    <w:rsid w:val="00CB0664"/>
    <w:pPr>
      <w:spacing w:after="0" w:line="240" w:lineRule="auto"/>
    </w:p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tblBorders>
    </w:tblPr>
    <w:tblStylePr w:type="firstRow">
      <w:pPr>
        <w:spacing w:before="0" w:after="0" w:line="240" w:lineRule="auto"/>
      </w:pPr>
      <w:rPr>
        <w:b/>
        <w:bCs/>
        <w:color w:val="FFFFFF" w:themeColor="background1"/>
      </w:rPr>
      <w:tblPr/>
      <w:tcPr>
        <w:shd w:val="clear" w:color="auto" w:fill="62A39F" w:themeFill="accent6"/>
      </w:tcPr>
    </w:tblStylePr>
    <w:tblStylePr w:type="lastRow">
      <w:pPr>
        <w:spacing w:before="0" w:after="0" w:line="240" w:lineRule="auto"/>
      </w:pPr>
      <w:rPr>
        <w:b/>
        <w:bCs/>
      </w:rPr>
      <w:tblPr/>
      <w:tcPr>
        <w:tcBorders>
          <w:top w:val="double" w:sz="6" w:space="0" w:color="62A39F" w:themeColor="accent6"/>
          <w:left w:val="single" w:sz="8" w:space="0" w:color="62A39F" w:themeColor="accent6"/>
          <w:bottom w:val="single" w:sz="8" w:space="0" w:color="62A39F" w:themeColor="accent6"/>
          <w:right w:val="single" w:sz="8" w:space="0" w:color="62A39F" w:themeColor="accent6"/>
        </w:tcBorders>
      </w:tcPr>
    </w:tblStylePr>
    <w:tblStylePr w:type="firstCol">
      <w:rPr>
        <w:b/>
        <w:bCs/>
      </w:rPr>
    </w:tblStylePr>
    <w:tblStylePr w:type="lastCol">
      <w:rPr>
        <w:b/>
        <w:bCs/>
      </w:rPr>
    </w:tblStylePr>
    <w:tblStylePr w:type="band1Vert">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tcPr>
    </w:tblStylePr>
    <w:tblStylePr w:type="band1Horz">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tcPr>
    </w:tblStylePr>
  </w:style>
  <w:style w:type="table" w:styleId="Svtlmka">
    <w:name w:val="Light Grid"/>
    <w:basedOn w:val="Normlntabulka"/>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tlmkazvraznn1">
    <w:name w:val="Light Grid Accent 1"/>
    <w:basedOn w:val="Normlntabulka"/>
    <w:uiPriority w:val="62"/>
    <w:rsid w:val="00CB0664"/>
    <w:pPr>
      <w:spacing w:after="0" w:line="240" w:lineRule="auto"/>
    </w:p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insideH w:val="single" w:sz="8" w:space="0" w:color="1CADE4" w:themeColor="accent1"/>
        <w:insideV w:val="single" w:sz="8" w:space="0" w:color="1CADE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CADE4" w:themeColor="accent1"/>
          <w:left w:val="single" w:sz="8" w:space="0" w:color="1CADE4" w:themeColor="accent1"/>
          <w:bottom w:val="single" w:sz="18" w:space="0" w:color="1CADE4" w:themeColor="accent1"/>
          <w:right w:val="single" w:sz="8" w:space="0" w:color="1CADE4" w:themeColor="accent1"/>
          <w:insideH w:val="nil"/>
          <w:insideV w:val="single" w:sz="8" w:space="0" w:color="1CADE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CADE4" w:themeColor="accent1"/>
          <w:left w:val="single" w:sz="8" w:space="0" w:color="1CADE4" w:themeColor="accent1"/>
          <w:bottom w:val="single" w:sz="8" w:space="0" w:color="1CADE4" w:themeColor="accent1"/>
          <w:right w:val="single" w:sz="8" w:space="0" w:color="1CADE4" w:themeColor="accent1"/>
          <w:insideH w:val="nil"/>
          <w:insideV w:val="single" w:sz="8" w:space="0" w:color="1CADE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tcPr>
    </w:tblStylePr>
    <w:tblStylePr w:type="band1Vert">
      <w:tblPr/>
      <w:tcPr>
        <w:tcBorders>
          <w:top w:val="single" w:sz="8" w:space="0" w:color="1CADE4" w:themeColor="accent1"/>
          <w:left w:val="single" w:sz="8" w:space="0" w:color="1CADE4" w:themeColor="accent1"/>
          <w:bottom w:val="single" w:sz="8" w:space="0" w:color="1CADE4" w:themeColor="accent1"/>
          <w:right w:val="single" w:sz="8" w:space="0" w:color="1CADE4" w:themeColor="accent1"/>
        </w:tcBorders>
        <w:shd w:val="clear" w:color="auto" w:fill="C6EAF8" w:themeFill="accent1" w:themeFillTint="3F"/>
      </w:tcPr>
    </w:tblStylePr>
    <w:tblStylePr w:type="band1Horz">
      <w:tblPr/>
      <w:tcPr>
        <w:tcBorders>
          <w:top w:val="single" w:sz="8" w:space="0" w:color="1CADE4" w:themeColor="accent1"/>
          <w:left w:val="single" w:sz="8" w:space="0" w:color="1CADE4" w:themeColor="accent1"/>
          <w:bottom w:val="single" w:sz="8" w:space="0" w:color="1CADE4" w:themeColor="accent1"/>
          <w:right w:val="single" w:sz="8" w:space="0" w:color="1CADE4" w:themeColor="accent1"/>
          <w:insideV w:val="single" w:sz="8" w:space="0" w:color="1CADE4" w:themeColor="accent1"/>
        </w:tcBorders>
        <w:shd w:val="clear" w:color="auto" w:fill="C6EAF8" w:themeFill="accent1" w:themeFillTint="3F"/>
      </w:tcPr>
    </w:tblStylePr>
    <w:tblStylePr w:type="band2Horz">
      <w:tblPr/>
      <w:tcPr>
        <w:tcBorders>
          <w:top w:val="single" w:sz="8" w:space="0" w:color="1CADE4" w:themeColor="accent1"/>
          <w:left w:val="single" w:sz="8" w:space="0" w:color="1CADE4" w:themeColor="accent1"/>
          <w:bottom w:val="single" w:sz="8" w:space="0" w:color="1CADE4" w:themeColor="accent1"/>
          <w:right w:val="single" w:sz="8" w:space="0" w:color="1CADE4" w:themeColor="accent1"/>
          <w:insideV w:val="single" w:sz="8" w:space="0" w:color="1CADE4" w:themeColor="accent1"/>
        </w:tcBorders>
      </w:tcPr>
    </w:tblStylePr>
  </w:style>
  <w:style w:type="table" w:styleId="Svtlmkazvraznn2">
    <w:name w:val="Light Grid Accent 2"/>
    <w:basedOn w:val="Normlntabulka"/>
    <w:uiPriority w:val="62"/>
    <w:rsid w:val="00CB0664"/>
    <w:pPr>
      <w:spacing w:after="0" w:line="240" w:lineRule="auto"/>
    </w:p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insideH w:val="single" w:sz="8" w:space="0" w:color="2683C6" w:themeColor="accent2"/>
        <w:insideV w:val="single" w:sz="8" w:space="0" w:color="2683C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83C6" w:themeColor="accent2"/>
          <w:left w:val="single" w:sz="8" w:space="0" w:color="2683C6" w:themeColor="accent2"/>
          <w:bottom w:val="single" w:sz="18" w:space="0" w:color="2683C6" w:themeColor="accent2"/>
          <w:right w:val="single" w:sz="8" w:space="0" w:color="2683C6" w:themeColor="accent2"/>
          <w:insideH w:val="nil"/>
          <w:insideV w:val="single" w:sz="8" w:space="0" w:color="2683C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83C6" w:themeColor="accent2"/>
          <w:left w:val="single" w:sz="8" w:space="0" w:color="2683C6" w:themeColor="accent2"/>
          <w:bottom w:val="single" w:sz="8" w:space="0" w:color="2683C6" w:themeColor="accent2"/>
          <w:right w:val="single" w:sz="8" w:space="0" w:color="2683C6" w:themeColor="accent2"/>
          <w:insideH w:val="nil"/>
          <w:insideV w:val="single" w:sz="8" w:space="0" w:color="2683C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tcPr>
    </w:tblStylePr>
    <w:tblStylePr w:type="band1Vert">
      <w:tblPr/>
      <w:tcPr>
        <w:tcBorders>
          <w:top w:val="single" w:sz="8" w:space="0" w:color="2683C6" w:themeColor="accent2"/>
          <w:left w:val="single" w:sz="8" w:space="0" w:color="2683C6" w:themeColor="accent2"/>
          <w:bottom w:val="single" w:sz="8" w:space="0" w:color="2683C6" w:themeColor="accent2"/>
          <w:right w:val="single" w:sz="8" w:space="0" w:color="2683C6" w:themeColor="accent2"/>
        </w:tcBorders>
        <w:shd w:val="clear" w:color="auto" w:fill="C5E0F4" w:themeFill="accent2" w:themeFillTint="3F"/>
      </w:tcPr>
    </w:tblStylePr>
    <w:tblStylePr w:type="band1Horz">
      <w:tblPr/>
      <w:tcPr>
        <w:tcBorders>
          <w:top w:val="single" w:sz="8" w:space="0" w:color="2683C6" w:themeColor="accent2"/>
          <w:left w:val="single" w:sz="8" w:space="0" w:color="2683C6" w:themeColor="accent2"/>
          <w:bottom w:val="single" w:sz="8" w:space="0" w:color="2683C6" w:themeColor="accent2"/>
          <w:right w:val="single" w:sz="8" w:space="0" w:color="2683C6" w:themeColor="accent2"/>
          <w:insideV w:val="single" w:sz="8" w:space="0" w:color="2683C6" w:themeColor="accent2"/>
        </w:tcBorders>
        <w:shd w:val="clear" w:color="auto" w:fill="C5E0F4" w:themeFill="accent2" w:themeFillTint="3F"/>
      </w:tcPr>
    </w:tblStylePr>
    <w:tblStylePr w:type="band2Horz">
      <w:tblPr/>
      <w:tcPr>
        <w:tcBorders>
          <w:top w:val="single" w:sz="8" w:space="0" w:color="2683C6" w:themeColor="accent2"/>
          <w:left w:val="single" w:sz="8" w:space="0" w:color="2683C6" w:themeColor="accent2"/>
          <w:bottom w:val="single" w:sz="8" w:space="0" w:color="2683C6" w:themeColor="accent2"/>
          <w:right w:val="single" w:sz="8" w:space="0" w:color="2683C6" w:themeColor="accent2"/>
          <w:insideV w:val="single" w:sz="8" w:space="0" w:color="2683C6" w:themeColor="accent2"/>
        </w:tcBorders>
      </w:tcPr>
    </w:tblStylePr>
  </w:style>
  <w:style w:type="table" w:styleId="Svtlmkazvraznn3">
    <w:name w:val="Light Grid Accent 3"/>
    <w:basedOn w:val="Normlntabulka"/>
    <w:uiPriority w:val="62"/>
    <w:rsid w:val="00CB0664"/>
    <w:pPr>
      <w:spacing w:after="0" w:line="240" w:lineRule="auto"/>
    </w:p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insideH w:val="single" w:sz="8" w:space="0" w:color="27CED7" w:themeColor="accent3"/>
        <w:insideV w:val="single" w:sz="8" w:space="0" w:color="27CED7"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7CED7" w:themeColor="accent3"/>
          <w:left w:val="single" w:sz="8" w:space="0" w:color="27CED7" w:themeColor="accent3"/>
          <w:bottom w:val="single" w:sz="18" w:space="0" w:color="27CED7" w:themeColor="accent3"/>
          <w:right w:val="single" w:sz="8" w:space="0" w:color="27CED7" w:themeColor="accent3"/>
          <w:insideH w:val="nil"/>
          <w:insideV w:val="single" w:sz="8" w:space="0" w:color="27CED7"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7CED7" w:themeColor="accent3"/>
          <w:left w:val="single" w:sz="8" w:space="0" w:color="27CED7" w:themeColor="accent3"/>
          <w:bottom w:val="single" w:sz="8" w:space="0" w:color="27CED7" w:themeColor="accent3"/>
          <w:right w:val="single" w:sz="8" w:space="0" w:color="27CED7" w:themeColor="accent3"/>
          <w:insideH w:val="nil"/>
          <w:insideV w:val="single" w:sz="8" w:space="0" w:color="27CED7"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tcPr>
    </w:tblStylePr>
    <w:tblStylePr w:type="band1Vert">
      <w:tblPr/>
      <w:tcPr>
        <w:tcBorders>
          <w:top w:val="single" w:sz="8" w:space="0" w:color="27CED7" w:themeColor="accent3"/>
          <w:left w:val="single" w:sz="8" w:space="0" w:color="27CED7" w:themeColor="accent3"/>
          <w:bottom w:val="single" w:sz="8" w:space="0" w:color="27CED7" w:themeColor="accent3"/>
          <w:right w:val="single" w:sz="8" w:space="0" w:color="27CED7" w:themeColor="accent3"/>
        </w:tcBorders>
        <w:shd w:val="clear" w:color="auto" w:fill="C9F2F5" w:themeFill="accent3" w:themeFillTint="3F"/>
      </w:tcPr>
    </w:tblStylePr>
    <w:tblStylePr w:type="band1Horz">
      <w:tblPr/>
      <w:tcPr>
        <w:tcBorders>
          <w:top w:val="single" w:sz="8" w:space="0" w:color="27CED7" w:themeColor="accent3"/>
          <w:left w:val="single" w:sz="8" w:space="0" w:color="27CED7" w:themeColor="accent3"/>
          <w:bottom w:val="single" w:sz="8" w:space="0" w:color="27CED7" w:themeColor="accent3"/>
          <w:right w:val="single" w:sz="8" w:space="0" w:color="27CED7" w:themeColor="accent3"/>
          <w:insideV w:val="single" w:sz="8" w:space="0" w:color="27CED7" w:themeColor="accent3"/>
        </w:tcBorders>
        <w:shd w:val="clear" w:color="auto" w:fill="C9F2F5" w:themeFill="accent3" w:themeFillTint="3F"/>
      </w:tcPr>
    </w:tblStylePr>
    <w:tblStylePr w:type="band2Horz">
      <w:tblPr/>
      <w:tcPr>
        <w:tcBorders>
          <w:top w:val="single" w:sz="8" w:space="0" w:color="27CED7" w:themeColor="accent3"/>
          <w:left w:val="single" w:sz="8" w:space="0" w:color="27CED7" w:themeColor="accent3"/>
          <w:bottom w:val="single" w:sz="8" w:space="0" w:color="27CED7" w:themeColor="accent3"/>
          <w:right w:val="single" w:sz="8" w:space="0" w:color="27CED7" w:themeColor="accent3"/>
          <w:insideV w:val="single" w:sz="8" w:space="0" w:color="27CED7" w:themeColor="accent3"/>
        </w:tcBorders>
      </w:tcPr>
    </w:tblStylePr>
  </w:style>
  <w:style w:type="table" w:styleId="Svtlmkazvraznn4">
    <w:name w:val="Light Grid Accent 4"/>
    <w:basedOn w:val="Normlntabulka"/>
    <w:uiPriority w:val="62"/>
    <w:rsid w:val="00CB0664"/>
    <w:pPr>
      <w:spacing w:after="0" w:line="240" w:lineRule="auto"/>
    </w:p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insideH w:val="single" w:sz="8" w:space="0" w:color="42BA97" w:themeColor="accent4"/>
        <w:insideV w:val="single" w:sz="8" w:space="0" w:color="42BA9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2BA97" w:themeColor="accent4"/>
          <w:left w:val="single" w:sz="8" w:space="0" w:color="42BA97" w:themeColor="accent4"/>
          <w:bottom w:val="single" w:sz="18" w:space="0" w:color="42BA97" w:themeColor="accent4"/>
          <w:right w:val="single" w:sz="8" w:space="0" w:color="42BA97" w:themeColor="accent4"/>
          <w:insideH w:val="nil"/>
          <w:insideV w:val="single" w:sz="8" w:space="0" w:color="42BA9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2BA97" w:themeColor="accent4"/>
          <w:left w:val="single" w:sz="8" w:space="0" w:color="42BA97" w:themeColor="accent4"/>
          <w:bottom w:val="single" w:sz="8" w:space="0" w:color="42BA97" w:themeColor="accent4"/>
          <w:right w:val="single" w:sz="8" w:space="0" w:color="42BA97" w:themeColor="accent4"/>
          <w:insideH w:val="nil"/>
          <w:insideV w:val="single" w:sz="8" w:space="0" w:color="42BA9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tcPr>
    </w:tblStylePr>
    <w:tblStylePr w:type="band1Vert">
      <w:tblPr/>
      <w:tcPr>
        <w:tcBorders>
          <w:top w:val="single" w:sz="8" w:space="0" w:color="42BA97" w:themeColor="accent4"/>
          <w:left w:val="single" w:sz="8" w:space="0" w:color="42BA97" w:themeColor="accent4"/>
          <w:bottom w:val="single" w:sz="8" w:space="0" w:color="42BA97" w:themeColor="accent4"/>
          <w:right w:val="single" w:sz="8" w:space="0" w:color="42BA97" w:themeColor="accent4"/>
        </w:tcBorders>
        <w:shd w:val="clear" w:color="auto" w:fill="CFEEE5" w:themeFill="accent4" w:themeFillTint="3F"/>
      </w:tcPr>
    </w:tblStylePr>
    <w:tblStylePr w:type="band1Horz">
      <w:tblPr/>
      <w:tcPr>
        <w:tcBorders>
          <w:top w:val="single" w:sz="8" w:space="0" w:color="42BA97" w:themeColor="accent4"/>
          <w:left w:val="single" w:sz="8" w:space="0" w:color="42BA97" w:themeColor="accent4"/>
          <w:bottom w:val="single" w:sz="8" w:space="0" w:color="42BA97" w:themeColor="accent4"/>
          <w:right w:val="single" w:sz="8" w:space="0" w:color="42BA97" w:themeColor="accent4"/>
          <w:insideV w:val="single" w:sz="8" w:space="0" w:color="42BA97" w:themeColor="accent4"/>
        </w:tcBorders>
        <w:shd w:val="clear" w:color="auto" w:fill="CFEEE5" w:themeFill="accent4" w:themeFillTint="3F"/>
      </w:tcPr>
    </w:tblStylePr>
    <w:tblStylePr w:type="band2Horz">
      <w:tblPr/>
      <w:tcPr>
        <w:tcBorders>
          <w:top w:val="single" w:sz="8" w:space="0" w:color="42BA97" w:themeColor="accent4"/>
          <w:left w:val="single" w:sz="8" w:space="0" w:color="42BA97" w:themeColor="accent4"/>
          <w:bottom w:val="single" w:sz="8" w:space="0" w:color="42BA97" w:themeColor="accent4"/>
          <w:right w:val="single" w:sz="8" w:space="0" w:color="42BA97" w:themeColor="accent4"/>
          <w:insideV w:val="single" w:sz="8" w:space="0" w:color="42BA97" w:themeColor="accent4"/>
        </w:tcBorders>
      </w:tcPr>
    </w:tblStylePr>
  </w:style>
  <w:style w:type="table" w:styleId="Svtlmkazvraznn5">
    <w:name w:val="Light Grid Accent 5"/>
    <w:basedOn w:val="Normlntabulka"/>
    <w:uiPriority w:val="62"/>
    <w:rsid w:val="00CB0664"/>
    <w:pPr>
      <w:spacing w:after="0" w:line="240" w:lineRule="auto"/>
    </w:p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insideH w:val="single" w:sz="8" w:space="0" w:color="3E8853" w:themeColor="accent5"/>
        <w:insideV w:val="single" w:sz="8" w:space="0" w:color="3E885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E8853" w:themeColor="accent5"/>
          <w:left w:val="single" w:sz="8" w:space="0" w:color="3E8853" w:themeColor="accent5"/>
          <w:bottom w:val="single" w:sz="18" w:space="0" w:color="3E8853" w:themeColor="accent5"/>
          <w:right w:val="single" w:sz="8" w:space="0" w:color="3E8853" w:themeColor="accent5"/>
          <w:insideH w:val="nil"/>
          <w:insideV w:val="single" w:sz="8" w:space="0" w:color="3E885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E8853" w:themeColor="accent5"/>
          <w:left w:val="single" w:sz="8" w:space="0" w:color="3E8853" w:themeColor="accent5"/>
          <w:bottom w:val="single" w:sz="8" w:space="0" w:color="3E8853" w:themeColor="accent5"/>
          <w:right w:val="single" w:sz="8" w:space="0" w:color="3E8853" w:themeColor="accent5"/>
          <w:insideH w:val="nil"/>
          <w:insideV w:val="single" w:sz="8" w:space="0" w:color="3E885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tcPr>
    </w:tblStylePr>
    <w:tblStylePr w:type="band1Vert">
      <w:tblPr/>
      <w:tcPr>
        <w:tcBorders>
          <w:top w:val="single" w:sz="8" w:space="0" w:color="3E8853" w:themeColor="accent5"/>
          <w:left w:val="single" w:sz="8" w:space="0" w:color="3E8853" w:themeColor="accent5"/>
          <w:bottom w:val="single" w:sz="8" w:space="0" w:color="3E8853" w:themeColor="accent5"/>
          <w:right w:val="single" w:sz="8" w:space="0" w:color="3E8853" w:themeColor="accent5"/>
        </w:tcBorders>
        <w:shd w:val="clear" w:color="auto" w:fill="C9E6D2" w:themeFill="accent5" w:themeFillTint="3F"/>
      </w:tcPr>
    </w:tblStylePr>
    <w:tblStylePr w:type="band1Horz">
      <w:tblPr/>
      <w:tcPr>
        <w:tcBorders>
          <w:top w:val="single" w:sz="8" w:space="0" w:color="3E8853" w:themeColor="accent5"/>
          <w:left w:val="single" w:sz="8" w:space="0" w:color="3E8853" w:themeColor="accent5"/>
          <w:bottom w:val="single" w:sz="8" w:space="0" w:color="3E8853" w:themeColor="accent5"/>
          <w:right w:val="single" w:sz="8" w:space="0" w:color="3E8853" w:themeColor="accent5"/>
          <w:insideV w:val="single" w:sz="8" w:space="0" w:color="3E8853" w:themeColor="accent5"/>
        </w:tcBorders>
        <w:shd w:val="clear" w:color="auto" w:fill="C9E6D2" w:themeFill="accent5" w:themeFillTint="3F"/>
      </w:tcPr>
    </w:tblStylePr>
    <w:tblStylePr w:type="band2Horz">
      <w:tblPr/>
      <w:tcPr>
        <w:tcBorders>
          <w:top w:val="single" w:sz="8" w:space="0" w:color="3E8853" w:themeColor="accent5"/>
          <w:left w:val="single" w:sz="8" w:space="0" w:color="3E8853" w:themeColor="accent5"/>
          <w:bottom w:val="single" w:sz="8" w:space="0" w:color="3E8853" w:themeColor="accent5"/>
          <w:right w:val="single" w:sz="8" w:space="0" w:color="3E8853" w:themeColor="accent5"/>
          <w:insideV w:val="single" w:sz="8" w:space="0" w:color="3E8853" w:themeColor="accent5"/>
        </w:tcBorders>
      </w:tcPr>
    </w:tblStylePr>
  </w:style>
  <w:style w:type="table" w:styleId="Svtlmkazvraznn6">
    <w:name w:val="Light Grid Accent 6"/>
    <w:basedOn w:val="Normlntabulka"/>
    <w:uiPriority w:val="62"/>
    <w:rsid w:val="00CB0664"/>
    <w:pPr>
      <w:spacing w:after="0" w:line="240" w:lineRule="auto"/>
    </w:p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insideH w:val="single" w:sz="8" w:space="0" w:color="62A39F" w:themeColor="accent6"/>
        <w:insideV w:val="single" w:sz="8" w:space="0" w:color="62A39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2A39F" w:themeColor="accent6"/>
          <w:left w:val="single" w:sz="8" w:space="0" w:color="62A39F" w:themeColor="accent6"/>
          <w:bottom w:val="single" w:sz="18" w:space="0" w:color="62A39F" w:themeColor="accent6"/>
          <w:right w:val="single" w:sz="8" w:space="0" w:color="62A39F" w:themeColor="accent6"/>
          <w:insideH w:val="nil"/>
          <w:insideV w:val="single" w:sz="8" w:space="0" w:color="62A39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2A39F" w:themeColor="accent6"/>
          <w:left w:val="single" w:sz="8" w:space="0" w:color="62A39F" w:themeColor="accent6"/>
          <w:bottom w:val="single" w:sz="8" w:space="0" w:color="62A39F" w:themeColor="accent6"/>
          <w:right w:val="single" w:sz="8" w:space="0" w:color="62A39F" w:themeColor="accent6"/>
          <w:insideH w:val="nil"/>
          <w:insideV w:val="single" w:sz="8" w:space="0" w:color="62A39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tcPr>
    </w:tblStylePr>
    <w:tblStylePr w:type="band1Vert">
      <w:tblPr/>
      <w:tcPr>
        <w:tcBorders>
          <w:top w:val="single" w:sz="8" w:space="0" w:color="62A39F" w:themeColor="accent6"/>
          <w:left w:val="single" w:sz="8" w:space="0" w:color="62A39F" w:themeColor="accent6"/>
          <w:bottom w:val="single" w:sz="8" w:space="0" w:color="62A39F" w:themeColor="accent6"/>
          <w:right w:val="single" w:sz="8" w:space="0" w:color="62A39F" w:themeColor="accent6"/>
        </w:tcBorders>
        <w:shd w:val="clear" w:color="auto" w:fill="D8E8E7" w:themeFill="accent6" w:themeFillTint="3F"/>
      </w:tcPr>
    </w:tblStylePr>
    <w:tblStylePr w:type="band1Horz">
      <w:tblPr/>
      <w:tcPr>
        <w:tcBorders>
          <w:top w:val="single" w:sz="8" w:space="0" w:color="62A39F" w:themeColor="accent6"/>
          <w:left w:val="single" w:sz="8" w:space="0" w:color="62A39F" w:themeColor="accent6"/>
          <w:bottom w:val="single" w:sz="8" w:space="0" w:color="62A39F" w:themeColor="accent6"/>
          <w:right w:val="single" w:sz="8" w:space="0" w:color="62A39F" w:themeColor="accent6"/>
          <w:insideV w:val="single" w:sz="8" w:space="0" w:color="62A39F" w:themeColor="accent6"/>
        </w:tcBorders>
        <w:shd w:val="clear" w:color="auto" w:fill="D8E8E7" w:themeFill="accent6" w:themeFillTint="3F"/>
      </w:tcPr>
    </w:tblStylePr>
    <w:tblStylePr w:type="band2Horz">
      <w:tblPr/>
      <w:tcPr>
        <w:tcBorders>
          <w:top w:val="single" w:sz="8" w:space="0" w:color="62A39F" w:themeColor="accent6"/>
          <w:left w:val="single" w:sz="8" w:space="0" w:color="62A39F" w:themeColor="accent6"/>
          <w:bottom w:val="single" w:sz="8" w:space="0" w:color="62A39F" w:themeColor="accent6"/>
          <w:right w:val="single" w:sz="8" w:space="0" w:color="62A39F" w:themeColor="accent6"/>
          <w:insideV w:val="single" w:sz="8" w:space="0" w:color="62A39F" w:themeColor="accent6"/>
        </w:tcBorders>
      </w:tcPr>
    </w:tblStylePr>
  </w:style>
  <w:style w:type="table" w:styleId="Stednstnovn1">
    <w:name w:val="Medium Shading 1"/>
    <w:basedOn w:val="Normlntabulka"/>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tednstnovn1zvraznn1">
    <w:name w:val="Medium Shading 1 Accent 1"/>
    <w:basedOn w:val="Normlntabulka"/>
    <w:uiPriority w:val="63"/>
    <w:rsid w:val="00CB0664"/>
    <w:pPr>
      <w:spacing w:after="0" w:line="240" w:lineRule="auto"/>
    </w:pPr>
    <w:tblPr>
      <w:tblStyleRowBandSize w:val="1"/>
      <w:tblStyleColBandSize w:val="1"/>
      <w:tblBorders>
        <w:top w:val="single" w:sz="8"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single" w:sz="8" w:space="0" w:color="54C1EA" w:themeColor="accent1" w:themeTint="BF"/>
      </w:tblBorders>
    </w:tblPr>
    <w:tblStylePr w:type="firstRow">
      <w:pPr>
        <w:spacing w:before="0" w:after="0" w:line="240" w:lineRule="auto"/>
      </w:pPr>
      <w:rPr>
        <w:b/>
        <w:bCs/>
        <w:color w:val="FFFFFF" w:themeColor="background1"/>
      </w:rPr>
      <w:tblPr/>
      <w:tcPr>
        <w:tcBorders>
          <w:top w:val="single" w:sz="8"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nil"/>
          <w:insideV w:val="nil"/>
        </w:tcBorders>
        <w:shd w:val="clear" w:color="auto" w:fill="1CADE4" w:themeFill="accent1"/>
      </w:tcPr>
    </w:tblStylePr>
    <w:tblStylePr w:type="lastRow">
      <w:pPr>
        <w:spacing w:before="0" w:after="0" w:line="240" w:lineRule="auto"/>
      </w:pPr>
      <w:rPr>
        <w:b/>
        <w:bCs/>
      </w:rPr>
      <w:tblPr/>
      <w:tcPr>
        <w:tcBorders>
          <w:top w:val="double" w:sz="6"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nil"/>
          <w:insideV w:val="nil"/>
        </w:tcBorders>
      </w:tcPr>
    </w:tblStylePr>
    <w:tblStylePr w:type="firstCol">
      <w:rPr>
        <w:b/>
        <w:bCs/>
      </w:rPr>
    </w:tblStylePr>
    <w:tblStylePr w:type="lastCol">
      <w:rPr>
        <w:b/>
        <w:bCs/>
      </w:rPr>
    </w:tblStylePr>
    <w:tblStylePr w:type="band1Vert">
      <w:tblPr/>
      <w:tcPr>
        <w:shd w:val="clear" w:color="auto" w:fill="C6EAF8" w:themeFill="accent1" w:themeFillTint="3F"/>
      </w:tcPr>
    </w:tblStylePr>
    <w:tblStylePr w:type="band1Horz">
      <w:tblPr/>
      <w:tcPr>
        <w:tcBorders>
          <w:insideH w:val="nil"/>
          <w:insideV w:val="nil"/>
        </w:tcBorders>
        <w:shd w:val="clear" w:color="auto" w:fill="C6EAF8" w:themeFill="accent1" w:themeFillTint="3F"/>
      </w:tcPr>
    </w:tblStylePr>
    <w:tblStylePr w:type="band2Horz">
      <w:tblPr/>
      <w:tcPr>
        <w:tcBorders>
          <w:insideH w:val="nil"/>
          <w:insideV w:val="nil"/>
        </w:tcBorders>
      </w:tcPr>
    </w:tblStylePr>
  </w:style>
  <w:style w:type="table" w:styleId="Stednstnovn1zvraznn2">
    <w:name w:val="Medium Shading 1 Accent 2"/>
    <w:basedOn w:val="Normlntabulka"/>
    <w:uiPriority w:val="63"/>
    <w:rsid w:val="00CB0664"/>
    <w:pPr>
      <w:spacing w:after="0" w:line="240" w:lineRule="auto"/>
    </w:pPr>
    <w:tblPr>
      <w:tblStyleRowBandSize w:val="1"/>
      <w:tblStyleColBandSize w:val="1"/>
      <w:tblBorders>
        <w:top w:val="single" w:sz="8"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single" w:sz="8" w:space="0" w:color="52A3DE" w:themeColor="accent2" w:themeTint="BF"/>
      </w:tblBorders>
    </w:tblPr>
    <w:tblStylePr w:type="firstRow">
      <w:pPr>
        <w:spacing w:before="0" w:after="0" w:line="240" w:lineRule="auto"/>
      </w:pPr>
      <w:rPr>
        <w:b/>
        <w:bCs/>
        <w:color w:val="FFFFFF" w:themeColor="background1"/>
      </w:rPr>
      <w:tblPr/>
      <w:tcPr>
        <w:tcBorders>
          <w:top w:val="single" w:sz="8"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nil"/>
          <w:insideV w:val="nil"/>
        </w:tcBorders>
        <w:shd w:val="clear" w:color="auto" w:fill="2683C6" w:themeFill="accent2"/>
      </w:tcPr>
    </w:tblStylePr>
    <w:tblStylePr w:type="lastRow">
      <w:pPr>
        <w:spacing w:before="0" w:after="0" w:line="240" w:lineRule="auto"/>
      </w:pPr>
      <w:rPr>
        <w:b/>
        <w:bCs/>
      </w:rPr>
      <w:tblPr/>
      <w:tcPr>
        <w:tcBorders>
          <w:top w:val="double" w:sz="6"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nil"/>
          <w:insideV w:val="nil"/>
        </w:tcBorders>
      </w:tcPr>
    </w:tblStylePr>
    <w:tblStylePr w:type="firstCol">
      <w:rPr>
        <w:b/>
        <w:bCs/>
      </w:rPr>
    </w:tblStylePr>
    <w:tblStylePr w:type="lastCol">
      <w:rPr>
        <w:b/>
        <w:bCs/>
      </w:rPr>
    </w:tblStylePr>
    <w:tblStylePr w:type="band1Vert">
      <w:tblPr/>
      <w:tcPr>
        <w:shd w:val="clear" w:color="auto" w:fill="C5E0F4" w:themeFill="accent2" w:themeFillTint="3F"/>
      </w:tcPr>
    </w:tblStylePr>
    <w:tblStylePr w:type="band1Horz">
      <w:tblPr/>
      <w:tcPr>
        <w:tcBorders>
          <w:insideH w:val="nil"/>
          <w:insideV w:val="nil"/>
        </w:tcBorders>
        <w:shd w:val="clear" w:color="auto" w:fill="C5E0F4" w:themeFill="accent2" w:themeFillTint="3F"/>
      </w:tcPr>
    </w:tblStylePr>
    <w:tblStylePr w:type="band2Horz">
      <w:tblPr/>
      <w:tcPr>
        <w:tcBorders>
          <w:insideH w:val="nil"/>
          <w:insideV w:val="nil"/>
        </w:tcBorders>
      </w:tcPr>
    </w:tblStylePr>
  </w:style>
  <w:style w:type="table" w:styleId="Stednstnovn1zvraznn3">
    <w:name w:val="Medium Shading 1 Accent 3"/>
    <w:basedOn w:val="Normlntabulka"/>
    <w:uiPriority w:val="63"/>
    <w:rsid w:val="00CB0664"/>
    <w:pPr>
      <w:spacing w:after="0" w:line="240" w:lineRule="auto"/>
    </w:pPr>
    <w:tblPr>
      <w:tblStyleRowBandSize w:val="1"/>
      <w:tblStyleColBandSize w:val="1"/>
      <w:tblBorders>
        <w:top w:val="single" w:sz="8"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single" w:sz="8" w:space="0" w:color="5CDAE1" w:themeColor="accent3" w:themeTint="BF"/>
      </w:tblBorders>
    </w:tblPr>
    <w:tblStylePr w:type="firstRow">
      <w:pPr>
        <w:spacing w:before="0" w:after="0" w:line="240" w:lineRule="auto"/>
      </w:pPr>
      <w:rPr>
        <w:b/>
        <w:bCs/>
        <w:color w:val="FFFFFF" w:themeColor="background1"/>
      </w:rPr>
      <w:tblPr/>
      <w:tcPr>
        <w:tcBorders>
          <w:top w:val="single" w:sz="8"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nil"/>
          <w:insideV w:val="nil"/>
        </w:tcBorders>
        <w:shd w:val="clear" w:color="auto" w:fill="27CED7" w:themeFill="accent3"/>
      </w:tcPr>
    </w:tblStylePr>
    <w:tblStylePr w:type="lastRow">
      <w:pPr>
        <w:spacing w:before="0" w:after="0" w:line="240" w:lineRule="auto"/>
      </w:pPr>
      <w:rPr>
        <w:b/>
        <w:bCs/>
      </w:rPr>
      <w:tblPr/>
      <w:tcPr>
        <w:tcBorders>
          <w:top w:val="double" w:sz="6"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nil"/>
          <w:insideV w:val="nil"/>
        </w:tcBorders>
      </w:tcPr>
    </w:tblStylePr>
    <w:tblStylePr w:type="firstCol">
      <w:rPr>
        <w:b/>
        <w:bCs/>
      </w:rPr>
    </w:tblStylePr>
    <w:tblStylePr w:type="lastCol">
      <w:rPr>
        <w:b/>
        <w:bCs/>
      </w:rPr>
    </w:tblStylePr>
    <w:tblStylePr w:type="band1Vert">
      <w:tblPr/>
      <w:tcPr>
        <w:shd w:val="clear" w:color="auto" w:fill="C9F2F5" w:themeFill="accent3" w:themeFillTint="3F"/>
      </w:tcPr>
    </w:tblStylePr>
    <w:tblStylePr w:type="band1Horz">
      <w:tblPr/>
      <w:tcPr>
        <w:tcBorders>
          <w:insideH w:val="nil"/>
          <w:insideV w:val="nil"/>
        </w:tcBorders>
        <w:shd w:val="clear" w:color="auto" w:fill="C9F2F5" w:themeFill="accent3" w:themeFillTint="3F"/>
      </w:tcPr>
    </w:tblStylePr>
    <w:tblStylePr w:type="band2Horz">
      <w:tblPr/>
      <w:tcPr>
        <w:tcBorders>
          <w:insideH w:val="nil"/>
          <w:insideV w:val="nil"/>
        </w:tcBorders>
      </w:tcPr>
    </w:tblStylePr>
  </w:style>
  <w:style w:type="table" w:styleId="Stednstnovn1zvraznn4">
    <w:name w:val="Medium Shading 1 Accent 4"/>
    <w:basedOn w:val="Normlntabulka"/>
    <w:uiPriority w:val="63"/>
    <w:rsid w:val="00CB0664"/>
    <w:pPr>
      <w:spacing w:after="0" w:line="240" w:lineRule="auto"/>
    </w:pPr>
    <w:tblPr>
      <w:tblStyleRowBandSize w:val="1"/>
      <w:tblStyleColBandSize w:val="1"/>
      <w:tblBorders>
        <w:top w:val="single" w:sz="8"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single" w:sz="8" w:space="0" w:color="70CCB1" w:themeColor="accent4" w:themeTint="BF"/>
      </w:tblBorders>
    </w:tblPr>
    <w:tblStylePr w:type="firstRow">
      <w:pPr>
        <w:spacing w:before="0" w:after="0" w:line="240" w:lineRule="auto"/>
      </w:pPr>
      <w:rPr>
        <w:b/>
        <w:bCs/>
        <w:color w:val="FFFFFF" w:themeColor="background1"/>
      </w:rPr>
      <w:tblPr/>
      <w:tcPr>
        <w:tcBorders>
          <w:top w:val="single" w:sz="8"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nil"/>
          <w:insideV w:val="nil"/>
        </w:tcBorders>
        <w:shd w:val="clear" w:color="auto" w:fill="42BA97" w:themeFill="accent4"/>
      </w:tcPr>
    </w:tblStylePr>
    <w:tblStylePr w:type="lastRow">
      <w:pPr>
        <w:spacing w:before="0" w:after="0" w:line="240" w:lineRule="auto"/>
      </w:pPr>
      <w:rPr>
        <w:b/>
        <w:bCs/>
      </w:rPr>
      <w:tblPr/>
      <w:tcPr>
        <w:tcBorders>
          <w:top w:val="double" w:sz="6"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EEE5" w:themeFill="accent4" w:themeFillTint="3F"/>
      </w:tcPr>
    </w:tblStylePr>
    <w:tblStylePr w:type="band1Horz">
      <w:tblPr/>
      <w:tcPr>
        <w:tcBorders>
          <w:insideH w:val="nil"/>
          <w:insideV w:val="nil"/>
        </w:tcBorders>
        <w:shd w:val="clear" w:color="auto" w:fill="CFEEE5" w:themeFill="accent4" w:themeFillTint="3F"/>
      </w:tcPr>
    </w:tblStylePr>
    <w:tblStylePr w:type="band2Horz">
      <w:tblPr/>
      <w:tcPr>
        <w:tcBorders>
          <w:insideH w:val="nil"/>
          <w:insideV w:val="nil"/>
        </w:tcBorders>
      </w:tcPr>
    </w:tblStylePr>
  </w:style>
  <w:style w:type="table" w:styleId="Stednstnovn1zvraznn5">
    <w:name w:val="Medium Shading 1 Accent 5"/>
    <w:basedOn w:val="Normlntabulka"/>
    <w:uiPriority w:val="63"/>
    <w:rsid w:val="00CB0664"/>
    <w:pPr>
      <w:spacing w:after="0" w:line="240" w:lineRule="auto"/>
    </w:pPr>
    <w:tblPr>
      <w:tblStyleRowBandSize w:val="1"/>
      <w:tblStyleColBandSize w:val="1"/>
      <w:tblBorders>
        <w:top w:val="single" w:sz="8"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single" w:sz="8" w:space="0" w:color="5EB576" w:themeColor="accent5" w:themeTint="BF"/>
      </w:tblBorders>
    </w:tblPr>
    <w:tblStylePr w:type="firstRow">
      <w:pPr>
        <w:spacing w:before="0" w:after="0" w:line="240" w:lineRule="auto"/>
      </w:pPr>
      <w:rPr>
        <w:b/>
        <w:bCs/>
        <w:color w:val="FFFFFF" w:themeColor="background1"/>
      </w:rPr>
      <w:tblPr/>
      <w:tcPr>
        <w:tcBorders>
          <w:top w:val="single" w:sz="8"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nil"/>
          <w:insideV w:val="nil"/>
        </w:tcBorders>
        <w:shd w:val="clear" w:color="auto" w:fill="3E8853" w:themeFill="accent5"/>
      </w:tcPr>
    </w:tblStylePr>
    <w:tblStylePr w:type="lastRow">
      <w:pPr>
        <w:spacing w:before="0" w:after="0" w:line="240" w:lineRule="auto"/>
      </w:pPr>
      <w:rPr>
        <w:b/>
        <w:bCs/>
      </w:rPr>
      <w:tblPr/>
      <w:tcPr>
        <w:tcBorders>
          <w:top w:val="double" w:sz="6"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nil"/>
          <w:insideV w:val="nil"/>
        </w:tcBorders>
      </w:tcPr>
    </w:tblStylePr>
    <w:tblStylePr w:type="firstCol">
      <w:rPr>
        <w:b/>
        <w:bCs/>
      </w:rPr>
    </w:tblStylePr>
    <w:tblStylePr w:type="lastCol">
      <w:rPr>
        <w:b/>
        <w:bCs/>
      </w:rPr>
    </w:tblStylePr>
    <w:tblStylePr w:type="band1Vert">
      <w:tblPr/>
      <w:tcPr>
        <w:shd w:val="clear" w:color="auto" w:fill="C9E6D2" w:themeFill="accent5" w:themeFillTint="3F"/>
      </w:tcPr>
    </w:tblStylePr>
    <w:tblStylePr w:type="band1Horz">
      <w:tblPr/>
      <w:tcPr>
        <w:tcBorders>
          <w:insideH w:val="nil"/>
          <w:insideV w:val="nil"/>
        </w:tcBorders>
        <w:shd w:val="clear" w:color="auto" w:fill="C9E6D2" w:themeFill="accent5" w:themeFillTint="3F"/>
      </w:tcPr>
    </w:tblStylePr>
    <w:tblStylePr w:type="band2Horz">
      <w:tblPr/>
      <w:tcPr>
        <w:tcBorders>
          <w:insideH w:val="nil"/>
          <w:insideV w:val="nil"/>
        </w:tcBorders>
      </w:tcPr>
    </w:tblStylePr>
  </w:style>
  <w:style w:type="table" w:styleId="Stednstnovn1zvraznn6">
    <w:name w:val="Medium Shading 1 Accent 6"/>
    <w:basedOn w:val="Normlntabulka"/>
    <w:uiPriority w:val="63"/>
    <w:rsid w:val="00CB0664"/>
    <w:pPr>
      <w:spacing w:after="0" w:line="240" w:lineRule="auto"/>
    </w:pPr>
    <w:tblPr>
      <w:tblStyleRowBandSize w:val="1"/>
      <w:tblStyleColBandSize w:val="1"/>
      <w:tblBorders>
        <w:top w:val="single" w:sz="8"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single" w:sz="8" w:space="0" w:color="89BAB7" w:themeColor="accent6" w:themeTint="BF"/>
      </w:tblBorders>
    </w:tblPr>
    <w:tblStylePr w:type="firstRow">
      <w:pPr>
        <w:spacing w:before="0" w:after="0" w:line="240" w:lineRule="auto"/>
      </w:pPr>
      <w:rPr>
        <w:b/>
        <w:bCs/>
        <w:color w:val="FFFFFF" w:themeColor="background1"/>
      </w:rPr>
      <w:tblPr/>
      <w:tcPr>
        <w:tcBorders>
          <w:top w:val="single" w:sz="8"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nil"/>
          <w:insideV w:val="nil"/>
        </w:tcBorders>
        <w:shd w:val="clear" w:color="auto" w:fill="62A39F" w:themeFill="accent6"/>
      </w:tcPr>
    </w:tblStylePr>
    <w:tblStylePr w:type="lastRow">
      <w:pPr>
        <w:spacing w:before="0" w:after="0" w:line="240" w:lineRule="auto"/>
      </w:pPr>
      <w:rPr>
        <w:b/>
        <w:bCs/>
      </w:rPr>
      <w:tblPr/>
      <w:tcPr>
        <w:tcBorders>
          <w:top w:val="double" w:sz="6"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D8E8E7" w:themeFill="accent6" w:themeFillTint="3F"/>
      </w:tcPr>
    </w:tblStylePr>
    <w:tblStylePr w:type="band1Horz">
      <w:tblPr/>
      <w:tcPr>
        <w:tcBorders>
          <w:insideH w:val="nil"/>
          <w:insideV w:val="nil"/>
        </w:tcBorders>
        <w:shd w:val="clear" w:color="auto" w:fill="D8E8E7" w:themeFill="accent6" w:themeFillTint="3F"/>
      </w:tcPr>
    </w:tblStylePr>
    <w:tblStylePr w:type="band2Horz">
      <w:tblPr/>
      <w:tcPr>
        <w:tcBorders>
          <w:insideH w:val="nil"/>
          <w:insideV w:val="nil"/>
        </w:tcBorders>
      </w:tcPr>
    </w:tblStylePr>
  </w:style>
  <w:style w:type="table" w:styleId="Stednstnovn2">
    <w:name w:val="Medium Shading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1">
    <w:name w:val="Medium Shading 2 Accent 1"/>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CADE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CADE4" w:themeFill="accent1"/>
      </w:tcPr>
    </w:tblStylePr>
    <w:tblStylePr w:type="lastCol">
      <w:rPr>
        <w:b/>
        <w:bCs/>
        <w:color w:val="FFFFFF" w:themeColor="background1"/>
      </w:rPr>
      <w:tblPr/>
      <w:tcPr>
        <w:tcBorders>
          <w:left w:val="nil"/>
          <w:right w:val="nil"/>
          <w:insideH w:val="nil"/>
          <w:insideV w:val="nil"/>
        </w:tcBorders>
        <w:shd w:val="clear" w:color="auto" w:fill="1CADE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2">
    <w:name w:val="Medium Shading 2 Accent 2"/>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83C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683C6" w:themeFill="accent2"/>
      </w:tcPr>
    </w:tblStylePr>
    <w:tblStylePr w:type="lastCol">
      <w:rPr>
        <w:b/>
        <w:bCs/>
        <w:color w:val="FFFFFF" w:themeColor="background1"/>
      </w:rPr>
      <w:tblPr/>
      <w:tcPr>
        <w:tcBorders>
          <w:left w:val="nil"/>
          <w:right w:val="nil"/>
          <w:insideH w:val="nil"/>
          <w:insideV w:val="nil"/>
        </w:tcBorders>
        <w:shd w:val="clear" w:color="auto" w:fill="2683C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3">
    <w:name w:val="Medium Shading 2 Accent 3"/>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7CED7"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7CED7" w:themeFill="accent3"/>
      </w:tcPr>
    </w:tblStylePr>
    <w:tblStylePr w:type="lastCol">
      <w:rPr>
        <w:b/>
        <w:bCs/>
        <w:color w:val="FFFFFF" w:themeColor="background1"/>
      </w:rPr>
      <w:tblPr/>
      <w:tcPr>
        <w:tcBorders>
          <w:left w:val="nil"/>
          <w:right w:val="nil"/>
          <w:insideH w:val="nil"/>
          <w:insideV w:val="nil"/>
        </w:tcBorders>
        <w:shd w:val="clear" w:color="auto" w:fill="27CED7"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4">
    <w:name w:val="Medium Shading 2 Accent 4"/>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2BA9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2BA97" w:themeFill="accent4"/>
      </w:tcPr>
    </w:tblStylePr>
    <w:tblStylePr w:type="lastCol">
      <w:rPr>
        <w:b/>
        <w:bCs/>
        <w:color w:val="FFFFFF" w:themeColor="background1"/>
      </w:rPr>
      <w:tblPr/>
      <w:tcPr>
        <w:tcBorders>
          <w:left w:val="nil"/>
          <w:right w:val="nil"/>
          <w:insideH w:val="nil"/>
          <w:insideV w:val="nil"/>
        </w:tcBorders>
        <w:shd w:val="clear" w:color="auto" w:fill="42BA9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5">
    <w:name w:val="Medium Shading 2 Accent 5"/>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E885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E8853" w:themeFill="accent5"/>
      </w:tcPr>
    </w:tblStylePr>
    <w:tblStylePr w:type="lastCol">
      <w:rPr>
        <w:b/>
        <w:bCs/>
        <w:color w:val="FFFFFF" w:themeColor="background1"/>
      </w:rPr>
      <w:tblPr/>
      <w:tcPr>
        <w:tcBorders>
          <w:left w:val="nil"/>
          <w:right w:val="nil"/>
          <w:insideH w:val="nil"/>
          <w:insideV w:val="nil"/>
        </w:tcBorders>
        <w:shd w:val="clear" w:color="auto" w:fill="3E885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tnovn2zvraznn6">
    <w:name w:val="Medium Shading 2 Accent 6"/>
    <w:basedOn w:val="Normlntabul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A39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A39F" w:themeFill="accent6"/>
      </w:tcPr>
    </w:tblStylePr>
    <w:tblStylePr w:type="lastCol">
      <w:rPr>
        <w:b/>
        <w:bCs/>
        <w:color w:val="FFFFFF" w:themeColor="background1"/>
      </w:rPr>
      <w:tblPr/>
      <w:tcPr>
        <w:tcBorders>
          <w:left w:val="nil"/>
          <w:right w:val="nil"/>
          <w:insideH w:val="nil"/>
          <w:insideV w:val="nil"/>
        </w:tcBorders>
        <w:shd w:val="clear" w:color="auto" w:fill="62A39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ednseznam1">
    <w:name w:val="Medium List 1"/>
    <w:basedOn w:val="Normlntabulka"/>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35B7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tednseznam1zvraznn1">
    <w:name w:val="Medium List 1 Accent 1"/>
    <w:basedOn w:val="Normlntabulka"/>
    <w:uiPriority w:val="65"/>
    <w:rsid w:val="00CB0664"/>
    <w:pPr>
      <w:spacing w:after="0" w:line="240" w:lineRule="auto"/>
    </w:pPr>
    <w:rPr>
      <w:color w:val="000000" w:themeColor="text1"/>
    </w:rPr>
    <w:tblPr>
      <w:tblStyleRowBandSize w:val="1"/>
      <w:tblStyleColBandSize w:val="1"/>
      <w:tblBorders>
        <w:top w:val="single" w:sz="8" w:space="0" w:color="1CADE4" w:themeColor="accent1"/>
        <w:bottom w:val="single" w:sz="8" w:space="0" w:color="1CADE4" w:themeColor="accent1"/>
      </w:tblBorders>
    </w:tblPr>
    <w:tblStylePr w:type="firstRow">
      <w:rPr>
        <w:rFonts w:asciiTheme="majorHAnsi" w:eastAsiaTheme="majorEastAsia" w:hAnsiTheme="majorHAnsi" w:cstheme="majorBidi"/>
      </w:rPr>
      <w:tblPr/>
      <w:tcPr>
        <w:tcBorders>
          <w:top w:val="nil"/>
          <w:bottom w:val="single" w:sz="8" w:space="0" w:color="1CADE4" w:themeColor="accent1"/>
        </w:tcBorders>
      </w:tcPr>
    </w:tblStylePr>
    <w:tblStylePr w:type="lastRow">
      <w:rPr>
        <w:b/>
        <w:bCs/>
        <w:color w:val="335B74" w:themeColor="text2"/>
      </w:rPr>
      <w:tblPr/>
      <w:tcPr>
        <w:tcBorders>
          <w:top w:val="single" w:sz="8" w:space="0" w:color="1CADE4" w:themeColor="accent1"/>
          <w:bottom w:val="single" w:sz="8" w:space="0" w:color="1CADE4" w:themeColor="accent1"/>
        </w:tcBorders>
      </w:tcPr>
    </w:tblStylePr>
    <w:tblStylePr w:type="firstCol">
      <w:rPr>
        <w:b/>
        <w:bCs/>
      </w:rPr>
    </w:tblStylePr>
    <w:tblStylePr w:type="lastCol">
      <w:rPr>
        <w:b/>
        <w:bCs/>
      </w:rPr>
      <w:tblPr/>
      <w:tcPr>
        <w:tcBorders>
          <w:top w:val="single" w:sz="8" w:space="0" w:color="1CADE4" w:themeColor="accent1"/>
          <w:bottom w:val="single" w:sz="8" w:space="0" w:color="1CADE4" w:themeColor="accent1"/>
        </w:tcBorders>
      </w:tcPr>
    </w:tblStylePr>
    <w:tblStylePr w:type="band1Vert">
      <w:tblPr/>
      <w:tcPr>
        <w:shd w:val="clear" w:color="auto" w:fill="C6EAF8" w:themeFill="accent1" w:themeFillTint="3F"/>
      </w:tcPr>
    </w:tblStylePr>
    <w:tblStylePr w:type="band1Horz">
      <w:tblPr/>
      <w:tcPr>
        <w:shd w:val="clear" w:color="auto" w:fill="C6EAF8" w:themeFill="accent1" w:themeFillTint="3F"/>
      </w:tcPr>
    </w:tblStylePr>
  </w:style>
  <w:style w:type="table" w:styleId="Stednseznam1zvraznn2">
    <w:name w:val="Medium List 1 Accent 2"/>
    <w:basedOn w:val="Normlntabulka"/>
    <w:uiPriority w:val="65"/>
    <w:rsid w:val="00CB0664"/>
    <w:pPr>
      <w:spacing w:after="0" w:line="240" w:lineRule="auto"/>
    </w:pPr>
    <w:rPr>
      <w:color w:val="000000" w:themeColor="text1"/>
    </w:rPr>
    <w:tblPr>
      <w:tblStyleRowBandSize w:val="1"/>
      <w:tblStyleColBandSize w:val="1"/>
      <w:tblBorders>
        <w:top w:val="single" w:sz="8" w:space="0" w:color="2683C6" w:themeColor="accent2"/>
        <w:bottom w:val="single" w:sz="8" w:space="0" w:color="2683C6" w:themeColor="accent2"/>
      </w:tblBorders>
    </w:tblPr>
    <w:tblStylePr w:type="firstRow">
      <w:rPr>
        <w:rFonts w:asciiTheme="majorHAnsi" w:eastAsiaTheme="majorEastAsia" w:hAnsiTheme="majorHAnsi" w:cstheme="majorBidi"/>
      </w:rPr>
      <w:tblPr/>
      <w:tcPr>
        <w:tcBorders>
          <w:top w:val="nil"/>
          <w:bottom w:val="single" w:sz="8" w:space="0" w:color="2683C6" w:themeColor="accent2"/>
        </w:tcBorders>
      </w:tcPr>
    </w:tblStylePr>
    <w:tblStylePr w:type="lastRow">
      <w:rPr>
        <w:b/>
        <w:bCs/>
        <w:color w:val="335B74" w:themeColor="text2"/>
      </w:rPr>
      <w:tblPr/>
      <w:tcPr>
        <w:tcBorders>
          <w:top w:val="single" w:sz="8" w:space="0" w:color="2683C6" w:themeColor="accent2"/>
          <w:bottom w:val="single" w:sz="8" w:space="0" w:color="2683C6" w:themeColor="accent2"/>
        </w:tcBorders>
      </w:tcPr>
    </w:tblStylePr>
    <w:tblStylePr w:type="firstCol">
      <w:rPr>
        <w:b/>
        <w:bCs/>
      </w:rPr>
    </w:tblStylePr>
    <w:tblStylePr w:type="lastCol">
      <w:rPr>
        <w:b/>
        <w:bCs/>
      </w:rPr>
      <w:tblPr/>
      <w:tcPr>
        <w:tcBorders>
          <w:top w:val="single" w:sz="8" w:space="0" w:color="2683C6" w:themeColor="accent2"/>
          <w:bottom w:val="single" w:sz="8" w:space="0" w:color="2683C6" w:themeColor="accent2"/>
        </w:tcBorders>
      </w:tcPr>
    </w:tblStylePr>
    <w:tblStylePr w:type="band1Vert">
      <w:tblPr/>
      <w:tcPr>
        <w:shd w:val="clear" w:color="auto" w:fill="C5E0F4" w:themeFill="accent2" w:themeFillTint="3F"/>
      </w:tcPr>
    </w:tblStylePr>
    <w:tblStylePr w:type="band1Horz">
      <w:tblPr/>
      <w:tcPr>
        <w:shd w:val="clear" w:color="auto" w:fill="C5E0F4" w:themeFill="accent2" w:themeFillTint="3F"/>
      </w:tcPr>
    </w:tblStylePr>
  </w:style>
  <w:style w:type="table" w:styleId="Stednseznam1zvraznn3">
    <w:name w:val="Medium List 1 Accent 3"/>
    <w:basedOn w:val="Normlntabulka"/>
    <w:uiPriority w:val="65"/>
    <w:rsid w:val="00CB0664"/>
    <w:pPr>
      <w:spacing w:after="0" w:line="240" w:lineRule="auto"/>
    </w:pPr>
    <w:rPr>
      <w:color w:val="000000" w:themeColor="text1"/>
    </w:rPr>
    <w:tblPr>
      <w:tblStyleRowBandSize w:val="1"/>
      <w:tblStyleColBandSize w:val="1"/>
      <w:tblBorders>
        <w:top w:val="single" w:sz="8" w:space="0" w:color="27CED7" w:themeColor="accent3"/>
        <w:bottom w:val="single" w:sz="8" w:space="0" w:color="27CED7" w:themeColor="accent3"/>
      </w:tblBorders>
    </w:tblPr>
    <w:tblStylePr w:type="firstRow">
      <w:rPr>
        <w:rFonts w:asciiTheme="majorHAnsi" w:eastAsiaTheme="majorEastAsia" w:hAnsiTheme="majorHAnsi" w:cstheme="majorBidi"/>
      </w:rPr>
      <w:tblPr/>
      <w:tcPr>
        <w:tcBorders>
          <w:top w:val="nil"/>
          <w:bottom w:val="single" w:sz="8" w:space="0" w:color="27CED7" w:themeColor="accent3"/>
        </w:tcBorders>
      </w:tcPr>
    </w:tblStylePr>
    <w:tblStylePr w:type="lastRow">
      <w:rPr>
        <w:b/>
        <w:bCs/>
        <w:color w:val="335B74" w:themeColor="text2"/>
      </w:rPr>
      <w:tblPr/>
      <w:tcPr>
        <w:tcBorders>
          <w:top w:val="single" w:sz="8" w:space="0" w:color="27CED7" w:themeColor="accent3"/>
          <w:bottom w:val="single" w:sz="8" w:space="0" w:color="27CED7" w:themeColor="accent3"/>
        </w:tcBorders>
      </w:tcPr>
    </w:tblStylePr>
    <w:tblStylePr w:type="firstCol">
      <w:rPr>
        <w:b/>
        <w:bCs/>
      </w:rPr>
    </w:tblStylePr>
    <w:tblStylePr w:type="lastCol">
      <w:rPr>
        <w:b/>
        <w:bCs/>
      </w:rPr>
      <w:tblPr/>
      <w:tcPr>
        <w:tcBorders>
          <w:top w:val="single" w:sz="8" w:space="0" w:color="27CED7" w:themeColor="accent3"/>
          <w:bottom w:val="single" w:sz="8" w:space="0" w:color="27CED7" w:themeColor="accent3"/>
        </w:tcBorders>
      </w:tcPr>
    </w:tblStylePr>
    <w:tblStylePr w:type="band1Vert">
      <w:tblPr/>
      <w:tcPr>
        <w:shd w:val="clear" w:color="auto" w:fill="C9F2F5" w:themeFill="accent3" w:themeFillTint="3F"/>
      </w:tcPr>
    </w:tblStylePr>
    <w:tblStylePr w:type="band1Horz">
      <w:tblPr/>
      <w:tcPr>
        <w:shd w:val="clear" w:color="auto" w:fill="C9F2F5" w:themeFill="accent3" w:themeFillTint="3F"/>
      </w:tcPr>
    </w:tblStylePr>
  </w:style>
  <w:style w:type="table" w:styleId="Stednseznam1zvraznn4">
    <w:name w:val="Medium List 1 Accent 4"/>
    <w:basedOn w:val="Normlntabulka"/>
    <w:uiPriority w:val="65"/>
    <w:rsid w:val="00CB0664"/>
    <w:pPr>
      <w:spacing w:after="0" w:line="240" w:lineRule="auto"/>
    </w:pPr>
    <w:rPr>
      <w:color w:val="000000" w:themeColor="text1"/>
    </w:rPr>
    <w:tblPr>
      <w:tblStyleRowBandSize w:val="1"/>
      <w:tblStyleColBandSize w:val="1"/>
      <w:tblBorders>
        <w:top w:val="single" w:sz="8" w:space="0" w:color="42BA97" w:themeColor="accent4"/>
        <w:bottom w:val="single" w:sz="8" w:space="0" w:color="42BA97" w:themeColor="accent4"/>
      </w:tblBorders>
    </w:tblPr>
    <w:tblStylePr w:type="firstRow">
      <w:rPr>
        <w:rFonts w:asciiTheme="majorHAnsi" w:eastAsiaTheme="majorEastAsia" w:hAnsiTheme="majorHAnsi" w:cstheme="majorBidi"/>
      </w:rPr>
      <w:tblPr/>
      <w:tcPr>
        <w:tcBorders>
          <w:top w:val="nil"/>
          <w:bottom w:val="single" w:sz="8" w:space="0" w:color="42BA97" w:themeColor="accent4"/>
        </w:tcBorders>
      </w:tcPr>
    </w:tblStylePr>
    <w:tblStylePr w:type="lastRow">
      <w:rPr>
        <w:b/>
        <w:bCs/>
        <w:color w:val="335B74" w:themeColor="text2"/>
      </w:rPr>
      <w:tblPr/>
      <w:tcPr>
        <w:tcBorders>
          <w:top w:val="single" w:sz="8" w:space="0" w:color="42BA97" w:themeColor="accent4"/>
          <w:bottom w:val="single" w:sz="8" w:space="0" w:color="42BA97" w:themeColor="accent4"/>
        </w:tcBorders>
      </w:tcPr>
    </w:tblStylePr>
    <w:tblStylePr w:type="firstCol">
      <w:rPr>
        <w:b/>
        <w:bCs/>
      </w:rPr>
    </w:tblStylePr>
    <w:tblStylePr w:type="lastCol">
      <w:rPr>
        <w:b/>
        <w:bCs/>
      </w:rPr>
      <w:tblPr/>
      <w:tcPr>
        <w:tcBorders>
          <w:top w:val="single" w:sz="8" w:space="0" w:color="42BA97" w:themeColor="accent4"/>
          <w:bottom w:val="single" w:sz="8" w:space="0" w:color="42BA97" w:themeColor="accent4"/>
        </w:tcBorders>
      </w:tcPr>
    </w:tblStylePr>
    <w:tblStylePr w:type="band1Vert">
      <w:tblPr/>
      <w:tcPr>
        <w:shd w:val="clear" w:color="auto" w:fill="CFEEE5" w:themeFill="accent4" w:themeFillTint="3F"/>
      </w:tcPr>
    </w:tblStylePr>
    <w:tblStylePr w:type="band1Horz">
      <w:tblPr/>
      <w:tcPr>
        <w:shd w:val="clear" w:color="auto" w:fill="CFEEE5" w:themeFill="accent4" w:themeFillTint="3F"/>
      </w:tcPr>
    </w:tblStylePr>
  </w:style>
  <w:style w:type="table" w:styleId="Stednseznam1zvraznn5">
    <w:name w:val="Medium List 1 Accent 5"/>
    <w:basedOn w:val="Normlntabulka"/>
    <w:uiPriority w:val="65"/>
    <w:rsid w:val="00CB0664"/>
    <w:pPr>
      <w:spacing w:after="0" w:line="240" w:lineRule="auto"/>
    </w:pPr>
    <w:rPr>
      <w:color w:val="000000" w:themeColor="text1"/>
    </w:rPr>
    <w:tblPr>
      <w:tblStyleRowBandSize w:val="1"/>
      <w:tblStyleColBandSize w:val="1"/>
      <w:tblBorders>
        <w:top w:val="single" w:sz="8" w:space="0" w:color="3E8853" w:themeColor="accent5"/>
        <w:bottom w:val="single" w:sz="8" w:space="0" w:color="3E8853" w:themeColor="accent5"/>
      </w:tblBorders>
    </w:tblPr>
    <w:tblStylePr w:type="firstRow">
      <w:rPr>
        <w:rFonts w:asciiTheme="majorHAnsi" w:eastAsiaTheme="majorEastAsia" w:hAnsiTheme="majorHAnsi" w:cstheme="majorBidi"/>
      </w:rPr>
      <w:tblPr/>
      <w:tcPr>
        <w:tcBorders>
          <w:top w:val="nil"/>
          <w:bottom w:val="single" w:sz="8" w:space="0" w:color="3E8853" w:themeColor="accent5"/>
        </w:tcBorders>
      </w:tcPr>
    </w:tblStylePr>
    <w:tblStylePr w:type="lastRow">
      <w:rPr>
        <w:b/>
        <w:bCs/>
        <w:color w:val="335B74" w:themeColor="text2"/>
      </w:rPr>
      <w:tblPr/>
      <w:tcPr>
        <w:tcBorders>
          <w:top w:val="single" w:sz="8" w:space="0" w:color="3E8853" w:themeColor="accent5"/>
          <w:bottom w:val="single" w:sz="8" w:space="0" w:color="3E8853" w:themeColor="accent5"/>
        </w:tcBorders>
      </w:tcPr>
    </w:tblStylePr>
    <w:tblStylePr w:type="firstCol">
      <w:rPr>
        <w:b/>
        <w:bCs/>
      </w:rPr>
    </w:tblStylePr>
    <w:tblStylePr w:type="lastCol">
      <w:rPr>
        <w:b/>
        <w:bCs/>
      </w:rPr>
      <w:tblPr/>
      <w:tcPr>
        <w:tcBorders>
          <w:top w:val="single" w:sz="8" w:space="0" w:color="3E8853" w:themeColor="accent5"/>
          <w:bottom w:val="single" w:sz="8" w:space="0" w:color="3E8853" w:themeColor="accent5"/>
        </w:tcBorders>
      </w:tcPr>
    </w:tblStylePr>
    <w:tblStylePr w:type="band1Vert">
      <w:tblPr/>
      <w:tcPr>
        <w:shd w:val="clear" w:color="auto" w:fill="C9E6D2" w:themeFill="accent5" w:themeFillTint="3F"/>
      </w:tcPr>
    </w:tblStylePr>
    <w:tblStylePr w:type="band1Horz">
      <w:tblPr/>
      <w:tcPr>
        <w:shd w:val="clear" w:color="auto" w:fill="C9E6D2" w:themeFill="accent5" w:themeFillTint="3F"/>
      </w:tcPr>
    </w:tblStylePr>
  </w:style>
  <w:style w:type="table" w:styleId="Stednseznam1zvraznn6">
    <w:name w:val="Medium List 1 Accent 6"/>
    <w:basedOn w:val="Normlntabulka"/>
    <w:uiPriority w:val="65"/>
    <w:rsid w:val="00CB0664"/>
    <w:pPr>
      <w:spacing w:after="0" w:line="240" w:lineRule="auto"/>
    </w:pPr>
    <w:rPr>
      <w:color w:val="000000" w:themeColor="text1"/>
    </w:rPr>
    <w:tblPr>
      <w:tblStyleRowBandSize w:val="1"/>
      <w:tblStyleColBandSize w:val="1"/>
      <w:tblBorders>
        <w:top w:val="single" w:sz="8" w:space="0" w:color="62A39F" w:themeColor="accent6"/>
        <w:bottom w:val="single" w:sz="8" w:space="0" w:color="62A39F" w:themeColor="accent6"/>
      </w:tblBorders>
    </w:tblPr>
    <w:tblStylePr w:type="firstRow">
      <w:rPr>
        <w:rFonts w:asciiTheme="majorHAnsi" w:eastAsiaTheme="majorEastAsia" w:hAnsiTheme="majorHAnsi" w:cstheme="majorBidi"/>
      </w:rPr>
      <w:tblPr/>
      <w:tcPr>
        <w:tcBorders>
          <w:top w:val="nil"/>
          <w:bottom w:val="single" w:sz="8" w:space="0" w:color="62A39F" w:themeColor="accent6"/>
        </w:tcBorders>
      </w:tcPr>
    </w:tblStylePr>
    <w:tblStylePr w:type="lastRow">
      <w:rPr>
        <w:b/>
        <w:bCs/>
        <w:color w:val="335B74" w:themeColor="text2"/>
      </w:rPr>
      <w:tblPr/>
      <w:tcPr>
        <w:tcBorders>
          <w:top w:val="single" w:sz="8" w:space="0" w:color="62A39F" w:themeColor="accent6"/>
          <w:bottom w:val="single" w:sz="8" w:space="0" w:color="62A39F" w:themeColor="accent6"/>
        </w:tcBorders>
      </w:tcPr>
    </w:tblStylePr>
    <w:tblStylePr w:type="firstCol">
      <w:rPr>
        <w:b/>
        <w:bCs/>
      </w:rPr>
    </w:tblStylePr>
    <w:tblStylePr w:type="lastCol">
      <w:rPr>
        <w:b/>
        <w:bCs/>
      </w:rPr>
      <w:tblPr/>
      <w:tcPr>
        <w:tcBorders>
          <w:top w:val="single" w:sz="8" w:space="0" w:color="62A39F" w:themeColor="accent6"/>
          <w:bottom w:val="single" w:sz="8" w:space="0" w:color="62A39F" w:themeColor="accent6"/>
        </w:tcBorders>
      </w:tcPr>
    </w:tblStylePr>
    <w:tblStylePr w:type="band1Vert">
      <w:tblPr/>
      <w:tcPr>
        <w:shd w:val="clear" w:color="auto" w:fill="D8E8E7" w:themeFill="accent6" w:themeFillTint="3F"/>
      </w:tcPr>
    </w:tblStylePr>
    <w:tblStylePr w:type="band1Horz">
      <w:tblPr/>
      <w:tcPr>
        <w:shd w:val="clear" w:color="auto" w:fill="D8E8E7" w:themeFill="accent6" w:themeFillTint="3F"/>
      </w:tcPr>
    </w:tblStylePr>
  </w:style>
  <w:style w:type="table" w:styleId="Stednseznam2">
    <w:name w:val="Medium Lis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1">
    <w:name w:val="Medium List 2 Accent 1"/>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tblBorders>
    </w:tblPr>
    <w:tblStylePr w:type="firstRow">
      <w:rPr>
        <w:sz w:val="24"/>
        <w:szCs w:val="24"/>
      </w:rPr>
      <w:tblPr/>
      <w:tcPr>
        <w:tcBorders>
          <w:top w:val="nil"/>
          <w:left w:val="nil"/>
          <w:bottom w:val="single" w:sz="24" w:space="0" w:color="1CADE4" w:themeColor="accent1"/>
          <w:right w:val="nil"/>
          <w:insideH w:val="nil"/>
          <w:insideV w:val="nil"/>
        </w:tcBorders>
        <w:shd w:val="clear" w:color="auto" w:fill="FFFFFF" w:themeFill="background1"/>
      </w:tcPr>
    </w:tblStylePr>
    <w:tblStylePr w:type="lastRow">
      <w:tblPr/>
      <w:tcPr>
        <w:tcBorders>
          <w:top w:val="single" w:sz="8" w:space="0" w:color="1CADE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CADE4" w:themeColor="accent1"/>
          <w:insideH w:val="nil"/>
          <w:insideV w:val="nil"/>
        </w:tcBorders>
        <w:shd w:val="clear" w:color="auto" w:fill="FFFFFF" w:themeFill="background1"/>
      </w:tcPr>
    </w:tblStylePr>
    <w:tblStylePr w:type="lastCol">
      <w:tblPr/>
      <w:tcPr>
        <w:tcBorders>
          <w:top w:val="nil"/>
          <w:left w:val="single" w:sz="8" w:space="0" w:color="1CADE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6EAF8" w:themeFill="accent1" w:themeFillTint="3F"/>
      </w:tcPr>
    </w:tblStylePr>
    <w:tblStylePr w:type="band1Horz">
      <w:tblPr/>
      <w:tcPr>
        <w:tcBorders>
          <w:top w:val="nil"/>
          <w:bottom w:val="nil"/>
          <w:insideH w:val="nil"/>
          <w:insideV w:val="nil"/>
        </w:tcBorders>
        <w:shd w:val="clear" w:color="auto" w:fill="C6EAF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2">
    <w:name w:val="Medium List 2 Accent 2"/>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tblBorders>
    </w:tblPr>
    <w:tblStylePr w:type="firstRow">
      <w:rPr>
        <w:sz w:val="24"/>
        <w:szCs w:val="24"/>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tblPr/>
      <w:tcPr>
        <w:tcBorders>
          <w:top w:val="single" w:sz="8" w:space="0" w:color="2683C6"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83C6" w:themeColor="accent2"/>
          <w:insideH w:val="nil"/>
          <w:insideV w:val="nil"/>
        </w:tcBorders>
        <w:shd w:val="clear" w:color="auto" w:fill="FFFFFF" w:themeFill="background1"/>
      </w:tcPr>
    </w:tblStylePr>
    <w:tblStylePr w:type="lastCol">
      <w:tblPr/>
      <w:tcPr>
        <w:tcBorders>
          <w:top w:val="nil"/>
          <w:left w:val="single" w:sz="8" w:space="0" w:color="2683C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5E0F4" w:themeFill="accent2" w:themeFillTint="3F"/>
      </w:tcPr>
    </w:tblStylePr>
    <w:tblStylePr w:type="band1Horz">
      <w:tblPr/>
      <w:tcPr>
        <w:tcBorders>
          <w:top w:val="nil"/>
          <w:bottom w:val="nil"/>
          <w:insideH w:val="nil"/>
          <w:insideV w:val="nil"/>
        </w:tcBorders>
        <w:shd w:val="clear" w:color="auto" w:fill="C5E0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3">
    <w:name w:val="Medium List 2 Accent 3"/>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tblBorders>
    </w:tblPr>
    <w:tblStylePr w:type="firstRow">
      <w:rPr>
        <w:sz w:val="24"/>
        <w:szCs w:val="24"/>
      </w:rPr>
      <w:tblPr/>
      <w:tcPr>
        <w:tcBorders>
          <w:top w:val="nil"/>
          <w:left w:val="nil"/>
          <w:bottom w:val="single" w:sz="24" w:space="0" w:color="27CED7" w:themeColor="accent3"/>
          <w:right w:val="nil"/>
          <w:insideH w:val="nil"/>
          <w:insideV w:val="nil"/>
        </w:tcBorders>
        <w:shd w:val="clear" w:color="auto" w:fill="FFFFFF" w:themeFill="background1"/>
      </w:tcPr>
    </w:tblStylePr>
    <w:tblStylePr w:type="lastRow">
      <w:tblPr/>
      <w:tcPr>
        <w:tcBorders>
          <w:top w:val="single" w:sz="8" w:space="0" w:color="27CED7"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7CED7" w:themeColor="accent3"/>
          <w:insideH w:val="nil"/>
          <w:insideV w:val="nil"/>
        </w:tcBorders>
        <w:shd w:val="clear" w:color="auto" w:fill="FFFFFF" w:themeFill="background1"/>
      </w:tcPr>
    </w:tblStylePr>
    <w:tblStylePr w:type="lastCol">
      <w:tblPr/>
      <w:tcPr>
        <w:tcBorders>
          <w:top w:val="nil"/>
          <w:left w:val="single" w:sz="8" w:space="0" w:color="27CED7"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F2F5" w:themeFill="accent3" w:themeFillTint="3F"/>
      </w:tcPr>
    </w:tblStylePr>
    <w:tblStylePr w:type="band1Horz">
      <w:tblPr/>
      <w:tcPr>
        <w:tcBorders>
          <w:top w:val="nil"/>
          <w:bottom w:val="nil"/>
          <w:insideH w:val="nil"/>
          <w:insideV w:val="nil"/>
        </w:tcBorders>
        <w:shd w:val="clear" w:color="auto" w:fill="C9F2F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4">
    <w:name w:val="Medium List 2 Accent 4"/>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tblBorders>
    </w:tblPr>
    <w:tblStylePr w:type="firstRow">
      <w:rPr>
        <w:sz w:val="24"/>
        <w:szCs w:val="24"/>
      </w:rPr>
      <w:tblPr/>
      <w:tcPr>
        <w:tcBorders>
          <w:top w:val="nil"/>
          <w:left w:val="nil"/>
          <w:bottom w:val="single" w:sz="24" w:space="0" w:color="42BA97" w:themeColor="accent4"/>
          <w:right w:val="nil"/>
          <w:insideH w:val="nil"/>
          <w:insideV w:val="nil"/>
        </w:tcBorders>
        <w:shd w:val="clear" w:color="auto" w:fill="FFFFFF" w:themeFill="background1"/>
      </w:tcPr>
    </w:tblStylePr>
    <w:tblStylePr w:type="lastRow">
      <w:tblPr/>
      <w:tcPr>
        <w:tcBorders>
          <w:top w:val="single" w:sz="8" w:space="0" w:color="42BA97"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2BA97" w:themeColor="accent4"/>
          <w:insideH w:val="nil"/>
          <w:insideV w:val="nil"/>
        </w:tcBorders>
        <w:shd w:val="clear" w:color="auto" w:fill="FFFFFF" w:themeFill="background1"/>
      </w:tcPr>
    </w:tblStylePr>
    <w:tblStylePr w:type="lastCol">
      <w:tblPr/>
      <w:tcPr>
        <w:tcBorders>
          <w:top w:val="nil"/>
          <w:left w:val="single" w:sz="8" w:space="0" w:color="42BA9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EEE5" w:themeFill="accent4" w:themeFillTint="3F"/>
      </w:tcPr>
    </w:tblStylePr>
    <w:tblStylePr w:type="band1Horz">
      <w:tblPr/>
      <w:tcPr>
        <w:tcBorders>
          <w:top w:val="nil"/>
          <w:bottom w:val="nil"/>
          <w:insideH w:val="nil"/>
          <w:insideV w:val="nil"/>
        </w:tcBorders>
        <w:shd w:val="clear" w:color="auto" w:fill="CFEEE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5">
    <w:name w:val="Medium List 2 Accent 5"/>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tblBorders>
    </w:tblPr>
    <w:tblStylePr w:type="firstRow">
      <w:rPr>
        <w:sz w:val="24"/>
        <w:szCs w:val="24"/>
      </w:rPr>
      <w:tblPr/>
      <w:tcPr>
        <w:tcBorders>
          <w:top w:val="nil"/>
          <w:left w:val="nil"/>
          <w:bottom w:val="single" w:sz="24" w:space="0" w:color="3E8853" w:themeColor="accent5"/>
          <w:right w:val="nil"/>
          <w:insideH w:val="nil"/>
          <w:insideV w:val="nil"/>
        </w:tcBorders>
        <w:shd w:val="clear" w:color="auto" w:fill="FFFFFF" w:themeFill="background1"/>
      </w:tcPr>
    </w:tblStylePr>
    <w:tblStylePr w:type="lastRow">
      <w:tblPr/>
      <w:tcPr>
        <w:tcBorders>
          <w:top w:val="single" w:sz="8" w:space="0" w:color="3E885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E8853" w:themeColor="accent5"/>
          <w:insideH w:val="nil"/>
          <w:insideV w:val="nil"/>
        </w:tcBorders>
        <w:shd w:val="clear" w:color="auto" w:fill="FFFFFF" w:themeFill="background1"/>
      </w:tcPr>
    </w:tblStylePr>
    <w:tblStylePr w:type="lastCol">
      <w:tblPr/>
      <w:tcPr>
        <w:tcBorders>
          <w:top w:val="nil"/>
          <w:left w:val="single" w:sz="8" w:space="0" w:color="3E885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E6D2" w:themeFill="accent5" w:themeFillTint="3F"/>
      </w:tcPr>
    </w:tblStylePr>
    <w:tblStylePr w:type="band1Horz">
      <w:tblPr/>
      <w:tcPr>
        <w:tcBorders>
          <w:top w:val="nil"/>
          <w:bottom w:val="nil"/>
          <w:insideH w:val="nil"/>
          <w:insideV w:val="nil"/>
        </w:tcBorders>
        <w:shd w:val="clear" w:color="auto" w:fill="C9E6D2"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Stednseznam2zvraznn6">
    <w:name w:val="Medium List 2 Accent 6"/>
    <w:basedOn w:val="Normlntabul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tblBorders>
    </w:tblPr>
    <w:tblStylePr w:type="firstRow">
      <w:rPr>
        <w:sz w:val="24"/>
        <w:szCs w:val="24"/>
      </w:rPr>
      <w:tblPr/>
      <w:tcPr>
        <w:tcBorders>
          <w:top w:val="nil"/>
          <w:left w:val="nil"/>
          <w:bottom w:val="single" w:sz="24" w:space="0" w:color="62A39F" w:themeColor="accent6"/>
          <w:right w:val="nil"/>
          <w:insideH w:val="nil"/>
          <w:insideV w:val="nil"/>
        </w:tcBorders>
        <w:shd w:val="clear" w:color="auto" w:fill="FFFFFF" w:themeFill="background1"/>
      </w:tcPr>
    </w:tblStylePr>
    <w:tblStylePr w:type="lastRow">
      <w:tblPr/>
      <w:tcPr>
        <w:tcBorders>
          <w:top w:val="single" w:sz="8" w:space="0" w:color="62A39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2A39F" w:themeColor="accent6"/>
          <w:insideH w:val="nil"/>
          <w:insideV w:val="nil"/>
        </w:tcBorders>
        <w:shd w:val="clear" w:color="auto" w:fill="FFFFFF" w:themeFill="background1"/>
      </w:tcPr>
    </w:tblStylePr>
    <w:tblStylePr w:type="lastCol">
      <w:tblPr/>
      <w:tcPr>
        <w:tcBorders>
          <w:top w:val="nil"/>
          <w:left w:val="single" w:sz="8" w:space="0" w:color="62A39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E8E7" w:themeFill="accent6" w:themeFillTint="3F"/>
      </w:tcPr>
    </w:tblStylePr>
    <w:tblStylePr w:type="band1Horz">
      <w:tblPr/>
      <w:tcPr>
        <w:tcBorders>
          <w:top w:val="nil"/>
          <w:bottom w:val="nil"/>
          <w:insideH w:val="nil"/>
          <w:insideV w:val="nil"/>
        </w:tcBorders>
        <w:shd w:val="clear" w:color="auto" w:fill="D8E8E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tednmka1">
    <w:name w:val="Medium Grid 1"/>
    <w:basedOn w:val="Normlntabulka"/>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tednmka1zvraznn1">
    <w:name w:val="Medium Grid 1 Accent 1"/>
    <w:basedOn w:val="Normlntabulka"/>
    <w:uiPriority w:val="67"/>
    <w:rsid w:val="00CB0664"/>
    <w:pPr>
      <w:spacing w:after="0" w:line="240" w:lineRule="auto"/>
    </w:pPr>
    <w:tblPr>
      <w:tblStyleRowBandSize w:val="1"/>
      <w:tblStyleColBandSize w:val="1"/>
      <w:tblBorders>
        <w:top w:val="single" w:sz="8" w:space="0" w:color="54C1EA" w:themeColor="accent1" w:themeTint="BF"/>
        <w:left w:val="single" w:sz="8" w:space="0" w:color="54C1EA" w:themeColor="accent1" w:themeTint="BF"/>
        <w:bottom w:val="single" w:sz="8" w:space="0" w:color="54C1EA" w:themeColor="accent1" w:themeTint="BF"/>
        <w:right w:val="single" w:sz="8" w:space="0" w:color="54C1EA" w:themeColor="accent1" w:themeTint="BF"/>
        <w:insideH w:val="single" w:sz="8" w:space="0" w:color="54C1EA" w:themeColor="accent1" w:themeTint="BF"/>
        <w:insideV w:val="single" w:sz="8" w:space="0" w:color="54C1EA" w:themeColor="accent1" w:themeTint="BF"/>
      </w:tblBorders>
    </w:tblPr>
    <w:tcPr>
      <w:shd w:val="clear" w:color="auto" w:fill="C6EAF8" w:themeFill="accent1" w:themeFillTint="3F"/>
    </w:tcPr>
    <w:tblStylePr w:type="firstRow">
      <w:rPr>
        <w:b/>
        <w:bCs/>
      </w:rPr>
    </w:tblStylePr>
    <w:tblStylePr w:type="lastRow">
      <w:rPr>
        <w:b/>
        <w:bCs/>
      </w:rPr>
      <w:tblPr/>
      <w:tcPr>
        <w:tcBorders>
          <w:top w:val="single" w:sz="18" w:space="0" w:color="54C1EA" w:themeColor="accent1" w:themeTint="BF"/>
        </w:tcBorders>
      </w:tcPr>
    </w:tblStylePr>
    <w:tblStylePr w:type="firstCol">
      <w:rPr>
        <w:b/>
        <w:bCs/>
      </w:rPr>
    </w:tblStylePr>
    <w:tblStylePr w:type="lastCol">
      <w:rPr>
        <w:b/>
        <w:bCs/>
      </w:rPr>
    </w:tblStylePr>
    <w:tblStylePr w:type="band1Vert">
      <w:tblPr/>
      <w:tcPr>
        <w:shd w:val="clear" w:color="auto" w:fill="8DD5F1" w:themeFill="accent1" w:themeFillTint="7F"/>
      </w:tcPr>
    </w:tblStylePr>
    <w:tblStylePr w:type="band1Horz">
      <w:tblPr/>
      <w:tcPr>
        <w:shd w:val="clear" w:color="auto" w:fill="8DD5F1" w:themeFill="accent1" w:themeFillTint="7F"/>
      </w:tcPr>
    </w:tblStylePr>
  </w:style>
  <w:style w:type="table" w:styleId="Stednmka1zvraznn2">
    <w:name w:val="Medium Grid 1 Accent 2"/>
    <w:basedOn w:val="Normlntabulka"/>
    <w:uiPriority w:val="67"/>
    <w:rsid w:val="00CB0664"/>
    <w:pPr>
      <w:spacing w:after="0" w:line="240" w:lineRule="auto"/>
    </w:pPr>
    <w:tblPr>
      <w:tblStyleRowBandSize w:val="1"/>
      <w:tblStyleColBandSize w:val="1"/>
      <w:tblBorders>
        <w:top w:val="single" w:sz="8" w:space="0" w:color="52A3DE" w:themeColor="accent2" w:themeTint="BF"/>
        <w:left w:val="single" w:sz="8" w:space="0" w:color="52A3DE" w:themeColor="accent2" w:themeTint="BF"/>
        <w:bottom w:val="single" w:sz="8" w:space="0" w:color="52A3DE" w:themeColor="accent2" w:themeTint="BF"/>
        <w:right w:val="single" w:sz="8" w:space="0" w:color="52A3DE" w:themeColor="accent2" w:themeTint="BF"/>
        <w:insideH w:val="single" w:sz="8" w:space="0" w:color="52A3DE" w:themeColor="accent2" w:themeTint="BF"/>
        <w:insideV w:val="single" w:sz="8" w:space="0" w:color="52A3DE" w:themeColor="accent2" w:themeTint="BF"/>
      </w:tblBorders>
    </w:tblPr>
    <w:tcPr>
      <w:shd w:val="clear" w:color="auto" w:fill="C5E0F4" w:themeFill="accent2" w:themeFillTint="3F"/>
    </w:tcPr>
    <w:tblStylePr w:type="firstRow">
      <w:rPr>
        <w:b/>
        <w:bCs/>
      </w:rPr>
    </w:tblStylePr>
    <w:tblStylePr w:type="lastRow">
      <w:rPr>
        <w:b/>
        <w:bCs/>
      </w:rPr>
      <w:tblPr/>
      <w:tcPr>
        <w:tcBorders>
          <w:top w:val="single" w:sz="18" w:space="0" w:color="52A3DE" w:themeColor="accent2" w:themeTint="BF"/>
        </w:tcBorders>
      </w:tcPr>
    </w:tblStylePr>
    <w:tblStylePr w:type="firstCol">
      <w:rPr>
        <w:b/>
        <w:bCs/>
      </w:rPr>
    </w:tblStylePr>
    <w:tblStylePr w:type="lastCol">
      <w:rPr>
        <w:b/>
        <w:bCs/>
      </w:rPr>
    </w:tblStylePr>
    <w:tblStylePr w:type="band1Vert">
      <w:tblPr/>
      <w:tcPr>
        <w:shd w:val="clear" w:color="auto" w:fill="8CC2E9" w:themeFill="accent2" w:themeFillTint="7F"/>
      </w:tcPr>
    </w:tblStylePr>
    <w:tblStylePr w:type="band1Horz">
      <w:tblPr/>
      <w:tcPr>
        <w:shd w:val="clear" w:color="auto" w:fill="8CC2E9" w:themeFill="accent2" w:themeFillTint="7F"/>
      </w:tcPr>
    </w:tblStylePr>
  </w:style>
  <w:style w:type="table" w:styleId="Stednmka1zvraznn3">
    <w:name w:val="Medium Grid 1 Accent 3"/>
    <w:basedOn w:val="Normlntabulka"/>
    <w:uiPriority w:val="67"/>
    <w:rsid w:val="00CB0664"/>
    <w:pPr>
      <w:spacing w:after="0" w:line="240" w:lineRule="auto"/>
    </w:pPr>
    <w:tblPr>
      <w:tblStyleRowBandSize w:val="1"/>
      <w:tblStyleColBandSize w:val="1"/>
      <w:tblBorders>
        <w:top w:val="single" w:sz="8" w:space="0" w:color="5CDAE1" w:themeColor="accent3" w:themeTint="BF"/>
        <w:left w:val="single" w:sz="8" w:space="0" w:color="5CDAE1" w:themeColor="accent3" w:themeTint="BF"/>
        <w:bottom w:val="single" w:sz="8" w:space="0" w:color="5CDAE1" w:themeColor="accent3" w:themeTint="BF"/>
        <w:right w:val="single" w:sz="8" w:space="0" w:color="5CDAE1" w:themeColor="accent3" w:themeTint="BF"/>
        <w:insideH w:val="single" w:sz="8" w:space="0" w:color="5CDAE1" w:themeColor="accent3" w:themeTint="BF"/>
        <w:insideV w:val="single" w:sz="8" w:space="0" w:color="5CDAE1" w:themeColor="accent3" w:themeTint="BF"/>
      </w:tblBorders>
    </w:tblPr>
    <w:tcPr>
      <w:shd w:val="clear" w:color="auto" w:fill="C9F2F5" w:themeFill="accent3" w:themeFillTint="3F"/>
    </w:tcPr>
    <w:tblStylePr w:type="firstRow">
      <w:rPr>
        <w:b/>
        <w:bCs/>
      </w:rPr>
    </w:tblStylePr>
    <w:tblStylePr w:type="lastRow">
      <w:rPr>
        <w:b/>
        <w:bCs/>
      </w:rPr>
      <w:tblPr/>
      <w:tcPr>
        <w:tcBorders>
          <w:top w:val="single" w:sz="18" w:space="0" w:color="5CDAE1" w:themeColor="accent3" w:themeTint="BF"/>
        </w:tcBorders>
      </w:tcPr>
    </w:tblStylePr>
    <w:tblStylePr w:type="firstCol">
      <w:rPr>
        <w:b/>
        <w:bCs/>
      </w:rPr>
    </w:tblStylePr>
    <w:tblStylePr w:type="lastCol">
      <w:rPr>
        <w:b/>
        <w:bCs/>
      </w:rPr>
    </w:tblStylePr>
    <w:tblStylePr w:type="band1Vert">
      <w:tblPr/>
      <w:tcPr>
        <w:shd w:val="clear" w:color="auto" w:fill="92E6EB" w:themeFill="accent3" w:themeFillTint="7F"/>
      </w:tcPr>
    </w:tblStylePr>
    <w:tblStylePr w:type="band1Horz">
      <w:tblPr/>
      <w:tcPr>
        <w:shd w:val="clear" w:color="auto" w:fill="92E6EB" w:themeFill="accent3" w:themeFillTint="7F"/>
      </w:tcPr>
    </w:tblStylePr>
  </w:style>
  <w:style w:type="table" w:styleId="Stednmka1zvraznn4">
    <w:name w:val="Medium Grid 1 Accent 4"/>
    <w:basedOn w:val="Normlntabulka"/>
    <w:uiPriority w:val="67"/>
    <w:rsid w:val="00CB0664"/>
    <w:pPr>
      <w:spacing w:after="0" w:line="240" w:lineRule="auto"/>
    </w:pPr>
    <w:tblPr>
      <w:tblStyleRowBandSize w:val="1"/>
      <w:tblStyleColBandSize w:val="1"/>
      <w:tblBorders>
        <w:top w:val="single" w:sz="8" w:space="0" w:color="70CCB1" w:themeColor="accent4" w:themeTint="BF"/>
        <w:left w:val="single" w:sz="8" w:space="0" w:color="70CCB1" w:themeColor="accent4" w:themeTint="BF"/>
        <w:bottom w:val="single" w:sz="8" w:space="0" w:color="70CCB1" w:themeColor="accent4" w:themeTint="BF"/>
        <w:right w:val="single" w:sz="8" w:space="0" w:color="70CCB1" w:themeColor="accent4" w:themeTint="BF"/>
        <w:insideH w:val="single" w:sz="8" w:space="0" w:color="70CCB1" w:themeColor="accent4" w:themeTint="BF"/>
        <w:insideV w:val="single" w:sz="8" w:space="0" w:color="70CCB1" w:themeColor="accent4" w:themeTint="BF"/>
      </w:tblBorders>
    </w:tblPr>
    <w:tcPr>
      <w:shd w:val="clear" w:color="auto" w:fill="CFEEE5" w:themeFill="accent4" w:themeFillTint="3F"/>
    </w:tcPr>
    <w:tblStylePr w:type="firstRow">
      <w:rPr>
        <w:b/>
        <w:bCs/>
      </w:rPr>
    </w:tblStylePr>
    <w:tblStylePr w:type="lastRow">
      <w:rPr>
        <w:b/>
        <w:bCs/>
      </w:rPr>
      <w:tblPr/>
      <w:tcPr>
        <w:tcBorders>
          <w:top w:val="single" w:sz="18" w:space="0" w:color="70CCB1" w:themeColor="accent4" w:themeTint="BF"/>
        </w:tcBorders>
      </w:tcPr>
    </w:tblStylePr>
    <w:tblStylePr w:type="firstCol">
      <w:rPr>
        <w:b/>
        <w:bCs/>
      </w:rPr>
    </w:tblStylePr>
    <w:tblStylePr w:type="lastCol">
      <w:rPr>
        <w:b/>
        <w:bCs/>
      </w:rPr>
    </w:tblStylePr>
    <w:tblStylePr w:type="band1Vert">
      <w:tblPr/>
      <w:tcPr>
        <w:shd w:val="clear" w:color="auto" w:fill="A0DDCB" w:themeFill="accent4" w:themeFillTint="7F"/>
      </w:tcPr>
    </w:tblStylePr>
    <w:tblStylePr w:type="band1Horz">
      <w:tblPr/>
      <w:tcPr>
        <w:shd w:val="clear" w:color="auto" w:fill="A0DDCB" w:themeFill="accent4" w:themeFillTint="7F"/>
      </w:tcPr>
    </w:tblStylePr>
  </w:style>
  <w:style w:type="table" w:styleId="Stednmka1zvraznn5">
    <w:name w:val="Medium Grid 1 Accent 5"/>
    <w:basedOn w:val="Normlntabulka"/>
    <w:uiPriority w:val="67"/>
    <w:rsid w:val="00CB0664"/>
    <w:pPr>
      <w:spacing w:after="0" w:line="240" w:lineRule="auto"/>
    </w:pPr>
    <w:tblPr>
      <w:tblStyleRowBandSize w:val="1"/>
      <w:tblStyleColBandSize w:val="1"/>
      <w:tblBorders>
        <w:top w:val="single" w:sz="8" w:space="0" w:color="5EB576" w:themeColor="accent5" w:themeTint="BF"/>
        <w:left w:val="single" w:sz="8" w:space="0" w:color="5EB576" w:themeColor="accent5" w:themeTint="BF"/>
        <w:bottom w:val="single" w:sz="8" w:space="0" w:color="5EB576" w:themeColor="accent5" w:themeTint="BF"/>
        <w:right w:val="single" w:sz="8" w:space="0" w:color="5EB576" w:themeColor="accent5" w:themeTint="BF"/>
        <w:insideH w:val="single" w:sz="8" w:space="0" w:color="5EB576" w:themeColor="accent5" w:themeTint="BF"/>
        <w:insideV w:val="single" w:sz="8" w:space="0" w:color="5EB576" w:themeColor="accent5" w:themeTint="BF"/>
      </w:tblBorders>
    </w:tblPr>
    <w:tcPr>
      <w:shd w:val="clear" w:color="auto" w:fill="C9E6D2" w:themeFill="accent5" w:themeFillTint="3F"/>
    </w:tcPr>
    <w:tblStylePr w:type="firstRow">
      <w:rPr>
        <w:b/>
        <w:bCs/>
      </w:rPr>
    </w:tblStylePr>
    <w:tblStylePr w:type="lastRow">
      <w:rPr>
        <w:b/>
        <w:bCs/>
      </w:rPr>
      <w:tblPr/>
      <w:tcPr>
        <w:tcBorders>
          <w:top w:val="single" w:sz="18" w:space="0" w:color="5EB576" w:themeColor="accent5" w:themeTint="BF"/>
        </w:tcBorders>
      </w:tcPr>
    </w:tblStylePr>
    <w:tblStylePr w:type="firstCol">
      <w:rPr>
        <w:b/>
        <w:bCs/>
      </w:rPr>
    </w:tblStylePr>
    <w:tblStylePr w:type="lastCol">
      <w:rPr>
        <w:b/>
        <w:bCs/>
      </w:rPr>
    </w:tblStylePr>
    <w:tblStylePr w:type="band1Vert">
      <w:tblPr/>
      <w:tcPr>
        <w:shd w:val="clear" w:color="auto" w:fill="94CEA4" w:themeFill="accent5" w:themeFillTint="7F"/>
      </w:tcPr>
    </w:tblStylePr>
    <w:tblStylePr w:type="band1Horz">
      <w:tblPr/>
      <w:tcPr>
        <w:shd w:val="clear" w:color="auto" w:fill="94CEA4" w:themeFill="accent5" w:themeFillTint="7F"/>
      </w:tcPr>
    </w:tblStylePr>
  </w:style>
  <w:style w:type="table" w:styleId="Stednmka1zvraznn6">
    <w:name w:val="Medium Grid 1 Accent 6"/>
    <w:basedOn w:val="Normlntabulka"/>
    <w:uiPriority w:val="67"/>
    <w:rsid w:val="00CB0664"/>
    <w:pPr>
      <w:spacing w:after="0" w:line="240" w:lineRule="auto"/>
    </w:pPr>
    <w:tblPr>
      <w:tblStyleRowBandSize w:val="1"/>
      <w:tblStyleColBandSize w:val="1"/>
      <w:tblBorders>
        <w:top w:val="single" w:sz="8" w:space="0" w:color="89BAB7" w:themeColor="accent6" w:themeTint="BF"/>
        <w:left w:val="single" w:sz="8" w:space="0" w:color="89BAB7" w:themeColor="accent6" w:themeTint="BF"/>
        <w:bottom w:val="single" w:sz="8" w:space="0" w:color="89BAB7" w:themeColor="accent6" w:themeTint="BF"/>
        <w:right w:val="single" w:sz="8" w:space="0" w:color="89BAB7" w:themeColor="accent6" w:themeTint="BF"/>
        <w:insideH w:val="single" w:sz="8" w:space="0" w:color="89BAB7" w:themeColor="accent6" w:themeTint="BF"/>
        <w:insideV w:val="single" w:sz="8" w:space="0" w:color="89BAB7" w:themeColor="accent6" w:themeTint="BF"/>
      </w:tblBorders>
    </w:tblPr>
    <w:tcPr>
      <w:shd w:val="clear" w:color="auto" w:fill="D8E8E7" w:themeFill="accent6" w:themeFillTint="3F"/>
    </w:tcPr>
    <w:tblStylePr w:type="firstRow">
      <w:rPr>
        <w:b/>
        <w:bCs/>
      </w:rPr>
    </w:tblStylePr>
    <w:tblStylePr w:type="lastRow">
      <w:rPr>
        <w:b/>
        <w:bCs/>
      </w:rPr>
      <w:tblPr/>
      <w:tcPr>
        <w:tcBorders>
          <w:top w:val="single" w:sz="18" w:space="0" w:color="89BAB7" w:themeColor="accent6" w:themeTint="BF"/>
        </w:tcBorders>
      </w:tcPr>
    </w:tblStylePr>
    <w:tblStylePr w:type="firstCol">
      <w:rPr>
        <w:b/>
        <w:bCs/>
      </w:rPr>
    </w:tblStylePr>
    <w:tblStylePr w:type="lastCol">
      <w:rPr>
        <w:b/>
        <w:bCs/>
      </w:rPr>
    </w:tblStylePr>
    <w:tblStylePr w:type="band1Vert">
      <w:tblPr/>
      <w:tcPr>
        <w:shd w:val="clear" w:color="auto" w:fill="B0D1CF" w:themeFill="accent6" w:themeFillTint="7F"/>
      </w:tcPr>
    </w:tblStylePr>
    <w:tblStylePr w:type="band1Horz">
      <w:tblPr/>
      <w:tcPr>
        <w:shd w:val="clear" w:color="auto" w:fill="B0D1CF" w:themeFill="accent6" w:themeFillTint="7F"/>
      </w:tcPr>
    </w:tblStylePr>
  </w:style>
  <w:style w:type="table" w:styleId="Stednmka2">
    <w:name w:val="Medium Grid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Stednmka2zvraznn1">
    <w:name w:val="Medium Grid 2 Accent 1"/>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CADE4" w:themeColor="accent1"/>
        <w:left w:val="single" w:sz="8" w:space="0" w:color="1CADE4" w:themeColor="accent1"/>
        <w:bottom w:val="single" w:sz="8" w:space="0" w:color="1CADE4" w:themeColor="accent1"/>
        <w:right w:val="single" w:sz="8" w:space="0" w:color="1CADE4" w:themeColor="accent1"/>
        <w:insideH w:val="single" w:sz="8" w:space="0" w:color="1CADE4" w:themeColor="accent1"/>
        <w:insideV w:val="single" w:sz="8" w:space="0" w:color="1CADE4" w:themeColor="accent1"/>
      </w:tblBorders>
    </w:tblPr>
    <w:tcPr>
      <w:shd w:val="clear" w:color="auto" w:fill="C6EAF8" w:themeFill="accent1" w:themeFillTint="3F"/>
    </w:tcPr>
    <w:tblStylePr w:type="firstRow">
      <w:rPr>
        <w:b/>
        <w:bCs/>
        <w:color w:val="000000" w:themeColor="text1"/>
      </w:rPr>
      <w:tblPr/>
      <w:tcPr>
        <w:shd w:val="clear" w:color="auto" w:fill="E8F6F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1EEF9" w:themeFill="accent1" w:themeFillTint="33"/>
      </w:tcPr>
    </w:tblStylePr>
    <w:tblStylePr w:type="band1Vert">
      <w:tblPr/>
      <w:tcPr>
        <w:shd w:val="clear" w:color="auto" w:fill="8DD5F1" w:themeFill="accent1" w:themeFillTint="7F"/>
      </w:tcPr>
    </w:tblStylePr>
    <w:tblStylePr w:type="band1Horz">
      <w:tblPr/>
      <w:tcPr>
        <w:tcBorders>
          <w:insideH w:val="single" w:sz="6" w:space="0" w:color="1CADE4" w:themeColor="accent1"/>
          <w:insideV w:val="single" w:sz="6" w:space="0" w:color="1CADE4" w:themeColor="accent1"/>
        </w:tcBorders>
        <w:shd w:val="clear" w:color="auto" w:fill="8DD5F1" w:themeFill="accent1" w:themeFillTint="7F"/>
      </w:tcPr>
    </w:tblStylePr>
    <w:tblStylePr w:type="nwCell">
      <w:tblPr/>
      <w:tcPr>
        <w:shd w:val="clear" w:color="auto" w:fill="FFFFFF" w:themeFill="background1"/>
      </w:tcPr>
    </w:tblStylePr>
  </w:style>
  <w:style w:type="table" w:styleId="Stednmka2zvraznn2">
    <w:name w:val="Medium Grid 2 Accent 2"/>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3C6" w:themeColor="accent2"/>
        <w:left w:val="single" w:sz="8" w:space="0" w:color="2683C6" w:themeColor="accent2"/>
        <w:bottom w:val="single" w:sz="8" w:space="0" w:color="2683C6" w:themeColor="accent2"/>
        <w:right w:val="single" w:sz="8" w:space="0" w:color="2683C6" w:themeColor="accent2"/>
        <w:insideH w:val="single" w:sz="8" w:space="0" w:color="2683C6" w:themeColor="accent2"/>
        <w:insideV w:val="single" w:sz="8" w:space="0" w:color="2683C6" w:themeColor="accent2"/>
      </w:tblBorders>
    </w:tblPr>
    <w:tcPr>
      <w:shd w:val="clear" w:color="auto" w:fill="C5E0F4" w:themeFill="accent2" w:themeFillTint="3F"/>
    </w:tcPr>
    <w:tblStylePr w:type="firstRow">
      <w:rPr>
        <w:b/>
        <w:bCs/>
        <w:color w:val="000000" w:themeColor="text1"/>
      </w:rPr>
      <w:tblPr/>
      <w:tcPr>
        <w:shd w:val="clear" w:color="auto" w:fill="E8F2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E6F6" w:themeFill="accent2" w:themeFillTint="33"/>
      </w:tcPr>
    </w:tblStylePr>
    <w:tblStylePr w:type="band1Vert">
      <w:tblPr/>
      <w:tcPr>
        <w:shd w:val="clear" w:color="auto" w:fill="8CC2E9" w:themeFill="accent2" w:themeFillTint="7F"/>
      </w:tcPr>
    </w:tblStylePr>
    <w:tblStylePr w:type="band1Horz">
      <w:tblPr/>
      <w:tcPr>
        <w:tcBorders>
          <w:insideH w:val="single" w:sz="6" w:space="0" w:color="2683C6" w:themeColor="accent2"/>
          <w:insideV w:val="single" w:sz="6" w:space="0" w:color="2683C6" w:themeColor="accent2"/>
        </w:tcBorders>
        <w:shd w:val="clear" w:color="auto" w:fill="8CC2E9" w:themeFill="accent2" w:themeFillTint="7F"/>
      </w:tcPr>
    </w:tblStylePr>
    <w:tblStylePr w:type="nwCell">
      <w:tblPr/>
      <w:tcPr>
        <w:shd w:val="clear" w:color="auto" w:fill="FFFFFF" w:themeFill="background1"/>
      </w:tcPr>
    </w:tblStylePr>
  </w:style>
  <w:style w:type="table" w:styleId="Stednmka2zvraznn3">
    <w:name w:val="Medium Grid 2 Accent 3"/>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7CED7" w:themeColor="accent3"/>
        <w:left w:val="single" w:sz="8" w:space="0" w:color="27CED7" w:themeColor="accent3"/>
        <w:bottom w:val="single" w:sz="8" w:space="0" w:color="27CED7" w:themeColor="accent3"/>
        <w:right w:val="single" w:sz="8" w:space="0" w:color="27CED7" w:themeColor="accent3"/>
        <w:insideH w:val="single" w:sz="8" w:space="0" w:color="27CED7" w:themeColor="accent3"/>
        <w:insideV w:val="single" w:sz="8" w:space="0" w:color="27CED7" w:themeColor="accent3"/>
      </w:tblBorders>
    </w:tblPr>
    <w:tcPr>
      <w:shd w:val="clear" w:color="auto" w:fill="C9F2F5" w:themeFill="accent3" w:themeFillTint="3F"/>
    </w:tcPr>
    <w:tblStylePr w:type="firstRow">
      <w:rPr>
        <w:b/>
        <w:bCs/>
        <w:color w:val="000000" w:themeColor="text1"/>
      </w:rPr>
      <w:tblPr/>
      <w:tcPr>
        <w:shd w:val="clear" w:color="auto" w:fill="E9FAF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3F5F7" w:themeFill="accent3" w:themeFillTint="33"/>
      </w:tcPr>
    </w:tblStylePr>
    <w:tblStylePr w:type="band1Vert">
      <w:tblPr/>
      <w:tcPr>
        <w:shd w:val="clear" w:color="auto" w:fill="92E6EB" w:themeFill="accent3" w:themeFillTint="7F"/>
      </w:tcPr>
    </w:tblStylePr>
    <w:tblStylePr w:type="band1Horz">
      <w:tblPr/>
      <w:tcPr>
        <w:tcBorders>
          <w:insideH w:val="single" w:sz="6" w:space="0" w:color="27CED7" w:themeColor="accent3"/>
          <w:insideV w:val="single" w:sz="6" w:space="0" w:color="27CED7" w:themeColor="accent3"/>
        </w:tcBorders>
        <w:shd w:val="clear" w:color="auto" w:fill="92E6EB" w:themeFill="accent3" w:themeFillTint="7F"/>
      </w:tcPr>
    </w:tblStylePr>
    <w:tblStylePr w:type="nwCell">
      <w:tblPr/>
      <w:tcPr>
        <w:shd w:val="clear" w:color="auto" w:fill="FFFFFF" w:themeFill="background1"/>
      </w:tcPr>
    </w:tblStylePr>
  </w:style>
  <w:style w:type="table" w:styleId="Stednmka2zvraznn4">
    <w:name w:val="Medium Grid 2 Accent 4"/>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2BA97" w:themeColor="accent4"/>
        <w:left w:val="single" w:sz="8" w:space="0" w:color="42BA97" w:themeColor="accent4"/>
        <w:bottom w:val="single" w:sz="8" w:space="0" w:color="42BA97" w:themeColor="accent4"/>
        <w:right w:val="single" w:sz="8" w:space="0" w:color="42BA97" w:themeColor="accent4"/>
        <w:insideH w:val="single" w:sz="8" w:space="0" w:color="42BA97" w:themeColor="accent4"/>
        <w:insideV w:val="single" w:sz="8" w:space="0" w:color="42BA97" w:themeColor="accent4"/>
      </w:tblBorders>
    </w:tblPr>
    <w:tcPr>
      <w:shd w:val="clear" w:color="auto" w:fill="CFEEE5" w:themeFill="accent4" w:themeFillTint="3F"/>
    </w:tcPr>
    <w:tblStylePr w:type="firstRow">
      <w:rPr>
        <w:b/>
        <w:bCs/>
        <w:color w:val="000000" w:themeColor="text1"/>
      </w:rPr>
      <w:tblPr/>
      <w:tcPr>
        <w:shd w:val="clear" w:color="auto" w:fill="ECF8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F1EA" w:themeFill="accent4" w:themeFillTint="33"/>
      </w:tcPr>
    </w:tblStylePr>
    <w:tblStylePr w:type="band1Vert">
      <w:tblPr/>
      <w:tcPr>
        <w:shd w:val="clear" w:color="auto" w:fill="A0DDCB" w:themeFill="accent4" w:themeFillTint="7F"/>
      </w:tcPr>
    </w:tblStylePr>
    <w:tblStylePr w:type="band1Horz">
      <w:tblPr/>
      <w:tcPr>
        <w:tcBorders>
          <w:insideH w:val="single" w:sz="6" w:space="0" w:color="42BA97" w:themeColor="accent4"/>
          <w:insideV w:val="single" w:sz="6" w:space="0" w:color="42BA97" w:themeColor="accent4"/>
        </w:tcBorders>
        <w:shd w:val="clear" w:color="auto" w:fill="A0DDCB" w:themeFill="accent4" w:themeFillTint="7F"/>
      </w:tcPr>
    </w:tblStylePr>
    <w:tblStylePr w:type="nwCell">
      <w:tblPr/>
      <w:tcPr>
        <w:shd w:val="clear" w:color="auto" w:fill="FFFFFF" w:themeFill="background1"/>
      </w:tcPr>
    </w:tblStylePr>
  </w:style>
  <w:style w:type="table" w:styleId="Stednmka2zvraznn5">
    <w:name w:val="Medium Grid 2 Accent 5"/>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E8853" w:themeColor="accent5"/>
        <w:left w:val="single" w:sz="8" w:space="0" w:color="3E8853" w:themeColor="accent5"/>
        <w:bottom w:val="single" w:sz="8" w:space="0" w:color="3E8853" w:themeColor="accent5"/>
        <w:right w:val="single" w:sz="8" w:space="0" w:color="3E8853" w:themeColor="accent5"/>
        <w:insideH w:val="single" w:sz="8" w:space="0" w:color="3E8853" w:themeColor="accent5"/>
        <w:insideV w:val="single" w:sz="8" w:space="0" w:color="3E8853" w:themeColor="accent5"/>
      </w:tblBorders>
    </w:tblPr>
    <w:tcPr>
      <w:shd w:val="clear" w:color="auto" w:fill="C9E6D2" w:themeFill="accent5" w:themeFillTint="3F"/>
    </w:tcPr>
    <w:tblStylePr w:type="firstRow">
      <w:rPr>
        <w:b/>
        <w:bCs/>
        <w:color w:val="000000" w:themeColor="text1"/>
      </w:rPr>
      <w:tblPr/>
      <w:tcPr>
        <w:shd w:val="clear" w:color="auto" w:fill="E9F5ED"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3EBDA" w:themeFill="accent5" w:themeFillTint="33"/>
      </w:tcPr>
    </w:tblStylePr>
    <w:tblStylePr w:type="band1Vert">
      <w:tblPr/>
      <w:tcPr>
        <w:shd w:val="clear" w:color="auto" w:fill="94CEA4" w:themeFill="accent5" w:themeFillTint="7F"/>
      </w:tcPr>
    </w:tblStylePr>
    <w:tblStylePr w:type="band1Horz">
      <w:tblPr/>
      <w:tcPr>
        <w:tcBorders>
          <w:insideH w:val="single" w:sz="6" w:space="0" w:color="3E8853" w:themeColor="accent5"/>
          <w:insideV w:val="single" w:sz="6" w:space="0" w:color="3E8853" w:themeColor="accent5"/>
        </w:tcBorders>
        <w:shd w:val="clear" w:color="auto" w:fill="94CEA4" w:themeFill="accent5" w:themeFillTint="7F"/>
      </w:tcPr>
    </w:tblStylePr>
    <w:tblStylePr w:type="nwCell">
      <w:tblPr/>
      <w:tcPr>
        <w:shd w:val="clear" w:color="auto" w:fill="FFFFFF" w:themeFill="background1"/>
      </w:tcPr>
    </w:tblStylePr>
  </w:style>
  <w:style w:type="table" w:styleId="Stednmka2zvraznn6">
    <w:name w:val="Medium Grid 2 Accent 6"/>
    <w:basedOn w:val="Normlntabul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2A39F" w:themeColor="accent6"/>
        <w:left w:val="single" w:sz="8" w:space="0" w:color="62A39F" w:themeColor="accent6"/>
        <w:bottom w:val="single" w:sz="8" w:space="0" w:color="62A39F" w:themeColor="accent6"/>
        <w:right w:val="single" w:sz="8" w:space="0" w:color="62A39F" w:themeColor="accent6"/>
        <w:insideH w:val="single" w:sz="8" w:space="0" w:color="62A39F" w:themeColor="accent6"/>
        <w:insideV w:val="single" w:sz="8" w:space="0" w:color="62A39F" w:themeColor="accent6"/>
      </w:tblBorders>
    </w:tblPr>
    <w:tcPr>
      <w:shd w:val="clear" w:color="auto" w:fill="D8E8E7" w:themeFill="accent6" w:themeFillTint="3F"/>
    </w:tcPr>
    <w:tblStylePr w:type="firstRow">
      <w:rPr>
        <w:b/>
        <w:bCs/>
        <w:color w:val="000000" w:themeColor="text1"/>
      </w:rPr>
      <w:tblPr/>
      <w:tcPr>
        <w:shd w:val="clear" w:color="auto" w:fill="EFF6F5"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CEB" w:themeFill="accent6" w:themeFillTint="33"/>
      </w:tcPr>
    </w:tblStylePr>
    <w:tblStylePr w:type="band1Vert">
      <w:tblPr/>
      <w:tcPr>
        <w:shd w:val="clear" w:color="auto" w:fill="B0D1CF" w:themeFill="accent6" w:themeFillTint="7F"/>
      </w:tcPr>
    </w:tblStylePr>
    <w:tblStylePr w:type="band1Horz">
      <w:tblPr/>
      <w:tcPr>
        <w:tcBorders>
          <w:insideH w:val="single" w:sz="6" w:space="0" w:color="62A39F" w:themeColor="accent6"/>
          <w:insideV w:val="single" w:sz="6" w:space="0" w:color="62A39F" w:themeColor="accent6"/>
        </w:tcBorders>
        <w:shd w:val="clear" w:color="auto" w:fill="B0D1CF" w:themeFill="accent6" w:themeFillTint="7F"/>
      </w:tcPr>
    </w:tblStylePr>
    <w:tblStylePr w:type="nwCell">
      <w:tblPr/>
      <w:tcPr>
        <w:shd w:val="clear" w:color="auto" w:fill="FFFFFF" w:themeFill="background1"/>
      </w:tcPr>
    </w:tblStylePr>
  </w:style>
  <w:style w:type="table" w:styleId="Stednmka3">
    <w:name w:val="Medium Grid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Stednmka3zvraznn1">
    <w:name w:val="Medium Grid 3 Accent 1"/>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6EAF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CADE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CADE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CADE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CADE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DD5F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DD5F1" w:themeFill="accent1" w:themeFillTint="7F"/>
      </w:tcPr>
    </w:tblStylePr>
  </w:style>
  <w:style w:type="table" w:styleId="Stednmka3zvraznn2">
    <w:name w:val="Medium Grid 3 Accent 2"/>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5E0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83C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83C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83C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83C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CC2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CC2E9" w:themeFill="accent2" w:themeFillTint="7F"/>
      </w:tcPr>
    </w:tblStylePr>
  </w:style>
  <w:style w:type="table" w:styleId="Stednmka3zvraznn3">
    <w:name w:val="Medium Grid 3 Accent 3"/>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F2F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7CED7"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7CED7"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7CED7"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7CED7"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2E6E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2E6EB" w:themeFill="accent3" w:themeFillTint="7F"/>
      </w:tcPr>
    </w:tblStylePr>
  </w:style>
  <w:style w:type="table" w:styleId="Stednmka3zvraznn4">
    <w:name w:val="Medium Grid 3 Accent 4"/>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EEE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2BA9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2BA9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2BA9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2BA9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DC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DCB" w:themeFill="accent4" w:themeFillTint="7F"/>
      </w:tcPr>
    </w:tblStylePr>
  </w:style>
  <w:style w:type="table" w:styleId="Stednmka3zvraznn5">
    <w:name w:val="Medium Grid 3 Accent 5"/>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E6D2"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885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885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885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885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4CEA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4CEA4" w:themeFill="accent5" w:themeFillTint="7F"/>
      </w:tcPr>
    </w:tblStylePr>
  </w:style>
  <w:style w:type="table" w:styleId="Stednmka3zvraznn6">
    <w:name w:val="Medium Grid 3 Accent 6"/>
    <w:basedOn w:val="Normlntabul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8E7"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A39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A39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A39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A39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D1C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D1CF" w:themeFill="accent6" w:themeFillTint="7F"/>
      </w:tcPr>
    </w:tblStylePr>
  </w:style>
  <w:style w:type="table" w:styleId="Tmavseznam">
    <w:name w:val="Dark List"/>
    <w:basedOn w:val="Normlntabulka"/>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mavseznamzvraznn1">
    <w:name w:val="Dark List Accent 1"/>
    <w:basedOn w:val="Normlntabulka"/>
    <w:uiPriority w:val="70"/>
    <w:rsid w:val="00CB0664"/>
    <w:pPr>
      <w:spacing w:after="0" w:line="240" w:lineRule="auto"/>
    </w:pPr>
    <w:rPr>
      <w:color w:val="FFFFFF" w:themeColor="background1"/>
    </w:rPr>
    <w:tblPr>
      <w:tblStyleRowBandSize w:val="1"/>
      <w:tblStyleColBandSize w:val="1"/>
    </w:tblPr>
    <w:tcPr>
      <w:shd w:val="clear" w:color="auto" w:fill="1CADE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D5571"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481A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481AB" w:themeFill="accent1" w:themeFillShade="BF"/>
      </w:tcPr>
    </w:tblStylePr>
    <w:tblStylePr w:type="band1Vert">
      <w:tblPr/>
      <w:tcPr>
        <w:tcBorders>
          <w:top w:val="nil"/>
          <w:left w:val="nil"/>
          <w:bottom w:val="nil"/>
          <w:right w:val="nil"/>
          <w:insideH w:val="nil"/>
          <w:insideV w:val="nil"/>
        </w:tcBorders>
        <w:shd w:val="clear" w:color="auto" w:fill="1481AB" w:themeFill="accent1" w:themeFillShade="BF"/>
      </w:tcPr>
    </w:tblStylePr>
    <w:tblStylePr w:type="band1Horz">
      <w:tblPr/>
      <w:tcPr>
        <w:tcBorders>
          <w:top w:val="nil"/>
          <w:left w:val="nil"/>
          <w:bottom w:val="nil"/>
          <w:right w:val="nil"/>
          <w:insideH w:val="nil"/>
          <w:insideV w:val="nil"/>
        </w:tcBorders>
        <w:shd w:val="clear" w:color="auto" w:fill="1481AB" w:themeFill="accent1" w:themeFillShade="BF"/>
      </w:tcPr>
    </w:tblStylePr>
  </w:style>
  <w:style w:type="table" w:styleId="Tmavseznamzvraznn2">
    <w:name w:val="Dark List Accent 2"/>
    <w:basedOn w:val="Normlntabulka"/>
    <w:uiPriority w:val="70"/>
    <w:rsid w:val="00CB0664"/>
    <w:pPr>
      <w:spacing w:after="0" w:line="240" w:lineRule="auto"/>
    </w:pPr>
    <w:rPr>
      <w:color w:val="FFFFFF" w:themeColor="background1"/>
    </w:rPr>
    <w:tblPr>
      <w:tblStyleRowBandSize w:val="1"/>
      <w:tblStyleColBandSize w:val="1"/>
    </w:tblPr>
    <w:tcPr>
      <w:shd w:val="clear" w:color="auto" w:fill="2683C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4162"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C619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C6194" w:themeFill="accent2" w:themeFillShade="BF"/>
      </w:tcPr>
    </w:tblStylePr>
    <w:tblStylePr w:type="band1Vert">
      <w:tblPr/>
      <w:tcPr>
        <w:tcBorders>
          <w:top w:val="nil"/>
          <w:left w:val="nil"/>
          <w:bottom w:val="nil"/>
          <w:right w:val="nil"/>
          <w:insideH w:val="nil"/>
          <w:insideV w:val="nil"/>
        </w:tcBorders>
        <w:shd w:val="clear" w:color="auto" w:fill="1C6194" w:themeFill="accent2" w:themeFillShade="BF"/>
      </w:tcPr>
    </w:tblStylePr>
    <w:tblStylePr w:type="band1Horz">
      <w:tblPr/>
      <w:tcPr>
        <w:tcBorders>
          <w:top w:val="nil"/>
          <w:left w:val="nil"/>
          <w:bottom w:val="nil"/>
          <w:right w:val="nil"/>
          <w:insideH w:val="nil"/>
          <w:insideV w:val="nil"/>
        </w:tcBorders>
        <w:shd w:val="clear" w:color="auto" w:fill="1C6194" w:themeFill="accent2" w:themeFillShade="BF"/>
      </w:tcPr>
    </w:tblStylePr>
  </w:style>
  <w:style w:type="table" w:styleId="Tmavseznamzvraznn3">
    <w:name w:val="Dark List Accent 3"/>
    <w:basedOn w:val="Normlntabulka"/>
    <w:uiPriority w:val="70"/>
    <w:rsid w:val="00CB0664"/>
    <w:pPr>
      <w:spacing w:after="0" w:line="240" w:lineRule="auto"/>
    </w:pPr>
    <w:rPr>
      <w:color w:val="FFFFFF" w:themeColor="background1"/>
    </w:rPr>
    <w:tblPr>
      <w:tblStyleRowBandSize w:val="1"/>
      <w:tblStyleColBandSize w:val="1"/>
    </w:tblPr>
    <w:tcPr>
      <w:shd w:val="clear" w:color="auto" w:fill="27CED7"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666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D99A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D99A0" w:themeFill="accent3" w:themeFillShade="BF"/>
      </w:tcPr>
    </w:tblStylePr>
    <w:tblStylePr w:type="band1Vert">
      <w:tblPr/>
      <w:tcPr>
        <w:tcBorders>
          <w:top w:val="nil"/>
          <w:left w:val="nil"/>
          <w:bottom w:val="nil"/>
          <w:right w:val="nil"/>
          <w:insideH w:val="nil"/>
          <w:insideV w:val="nil"/>
        </w:tcBorders>
        <w:shd w:val="clear" w:color="auto" w:fill="1D99A0" w:themeFill="accent3" w:themeFillShade="BF"/>
      </w:tcPr>
    </w:tblStylePr>
    <w:tblStylePr w:type="band1Horz">
      <w:tblPr/>
      <w:tcPr>
        <w:tcBorders>
          <w:top w:val="nil"/>
          <w:left w:val="nil"/>
          <w:bottom w:val="nil"/>
          <w:right w:val="nil"/>
          <w:insideH w:val="nil"/>
          <w:insideV w:val="nil"/>
        </w:tcBorders>
        <w:shd w:val="clear" w:color="auto" w:fill="1D99A0" w:themeFill="accent3" w:themeFillShade="BF"/>
      </w:tcPr>
    </w:tblStylePr>
  </w:style>
  <w:style w:type="table" w:styleId="Tmavseznamzvraznn4">
    <w:name w:val="Dark List Accent 4"/>
    <w:basedOn w:val="Normlntabulka"/>
    <w:uiPriority w:val="70"/>
    <w:rsid w:val="00CB0664"/>
    <w:pPr>
      <w:spacing w:after="0" w:line="240" w:lineRule="auto"/>
    </w:pPr>
    <w:rPr>
      <w:color w:val="FFFFFF" w:themeColor="background1"/>
    </w:rPr>
    <w:tblPr>
      <w:tblStyleRowBandSize w:val="1"/>
      <w:tblStyleColBandSize w:val="1"/>
    </w:tblPr>
    <w:tcPr>
      <w:shd w:val="clear" w:color="auto" w:fill="42BA9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5C4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18B7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18B70" w:themeFill="accent4" w:themeFillShade="BF"/>
      </w:tcPr>
    </w:tblStylePr>
    <w:tblStylePr w:type="band1Vert">
      <w:tblPr/>
      <w:tcPr>
        <w:tcBorders>
          <w:top w:val="nil"/>
          <w:left w:val="nil"/>
          <w:bottom w:val="nil"/>
          <w:right w:val="nil"/>
          <w:insideH w:val="nil"/>
          <w:insideV w:val="nil"/>
        </w:tcBorders>
        <w:shd w:val="clear" w:color="auto" w:fill="318B70" w:themeFill="accent4" w:themeFillShade="BF"/>
      </w:tcPr>
    </w:tblStylePr>
    <w:tblStylePr w:type="band1Horz">
      <w:tblPr/>
      <w:tcPr>
        <w:tcBorders>
          <w:top w:val="nil"/>
          <w:left w:val="nil"/>
          <w:bottom w:val="nil"/>
          <w:right w:val="nil"/>
          <w:insideH w:val="nil"/>
          <w:insideV w:val="nil"/>
        </w:tcBorders>
        <w:shd w:val="clear" w:color="auto" w:fill="318B70" w:themeFill="accent4" w:themeFillShade="BF"/>
      </w:tcPr>
    </w:tblStylePr>
  </w:style>
  <w:style w:type="table" w:styleId="Tmavseznamzvraznn5">
    <w:name w:val="Dark List Accent 5"/>
    <w:basedOn w:val="Normlntabulka"/>
    <w:uiPriority w:val="70"/>
    <w:rsid w:val="00CB0664"/>
    <w:pPr>
      <w:spacing w:after="0" w:line="240" w:lineRule="auto"/>
    </w:pPr>
    <w:rPr>
      <w:color w:val="FFFFFF" w:themeColor="background1"/>
    </w:rPr>
    <w:tblPr>
      <w:tblStyleRowBandSize w:val="1"/>
      <w:tblStyleColBandSize w:val="1"/>
    </w:tblPr>
    <w:tcPr>
      <w:shd w:val="clear" w:color="auto" w:fill="3E885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4329"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653E"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653E" w:themeFill="accent5" w:themeFillShade="BF"/>
      </w:tcPr>
    </w:tblStylePr>
    <w:tblStylePr w:type="band1Vert">
      <w:tblPr/>
      <w:tcPr>
        <w:tcBorders>
          <w:top w:val="nil"/>
          <w:left w:val="nil"/>
          <w:bottom w:val="nil"/>
          <w:right w:val="nil"/>
          <w:insideH w:val="nil"/>
          <w:insideV w:val="nil"/>
        </w:tcBorders>
        <w:shd w:val="clear" w:color="auto" w:fill="2E653E" w:themeFill="accent5" w:themeFillShade="BF"/>
      </w:tcPr>
    </w:tblStylePr>
    <w:tblStylePr w:type="band1Horz">
      <w:tblPr/>
      <w:tcPr>
        <w:tcBorders>
          <w:top w:val="nil"/>
          <w:left w:val="nil"/>
          <w:bottom w:val="nil"/>
          <w:right w:val="nil"/>
          <w:insideH w:val="nil"/>
          <w:insideV w:val="nil"/>
        </w:tcBorders>
        <w:shd w:val="clear" w:color="auto" w:fill="2E653E" w:themeFill="accent5" w:themeFillShade="BF"/>
      </w:tcPr>
    </w:tblStylePr>
  </w:style>
  <w:style w:type="table" w:styleId="Tmavseznamzvraznn6">
    <w:name w:val="Dark List Accent 6"/>
    <w:basedOn w:val="Normlntabulka"/>
    <w:uiPriority w:val="70"/>
    <w:rsid w:val="00CB0664"/>
    <w:pPr>
      <w:spacing w:after="0" w:line="240" w:lineRule="auto"/>
    </w:pPr>
    <w:rPr>
      <w:color w:val="FFFFFF" w:themeColor="background1"/>
    </w:rPr>
    <w:tblPr>
      <w:tblStyleRowBandSize w:val="1"/>
      <w:tblStyleColBandSize w:val="1"/>
    </w:tblPr>
    <w:tcPr>
      <w:shd w:val="clear" w:color="auto" w:fill="62A39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514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87B7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87B77" w:themeFill="accent6" w:themeFillShade="BF"/>
      </w:tcPr>
    </w:tblStylePr>
    <w:tblStylePr w:type="band1Vert">
      <w:tblPr/>
      <w:tcPr>
        <w:tcBorders>
          <w:top w:val="nil"/>
          <w:left w:val="nil"/>
          <w:bottom w:val="nil"/>
          <w:right w:val="nil"/>
          <w:insideH w:val="nil"/>
          <w:insideV w:val="nil"/>
        </w:tcBorders>
        <w:shd w:val="clear" w:color="auto" w:fill="487B77" w:themeFill="accent6" w:themeFillShade="BF"/>
      </w:tcPr>
    </w:tblStylePr>
    <w:tblStylePr w:type="band1Horz">
      <w:tblPr/>
      <w:tcPr>
        <w:tcBorders>
          <w:top w:val="nil"/>
          <w:left w:val="nil"/>
          <w:bottom w:val="nil"/>
          <w:right w:val="nil"/>
          <w:insideH w:val="nil"/>
          <w:insideV w:val="nil"/>
        </w:tcBorders>
        <w:shd w:val="clear" w:color="auto" w:fill="487B77" w:themeFill="accent6" w:themeFillShade="BF"/>
      </w:tcPr>
    </w:tblStylePr>
  </w:style>
  <w:style w:type="table" w:styleId="Barevnstnovn">
    <w:name w:val="Colorful Shading"/>
    <w:basedOn w:val="Normlntabulka"/>
    <w:uiPriority w:val="71"/>
    <w:rsid w:val="00CB0664"/>
    <w:pPr>
      <w:spacing w:after="0" w:line="240" w:lineRule="auto"/>
    </w:pPr>
    <w:rPr>
      <w:color w:val="000000" w:themeColor="text1"/>
    </w:rPr>
    <w:tblPr>
      <w:tblStyleRowBandSize w:val="1"/>
      <w:tblStyleColBandSize w:val="1"/>
      <w:tblBorders>
        <w:top w:val="single" w:sz="24" w:space="0" w:color="2683C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evnstnovnzvraznn1">
    <w:name w:val="Colorful Shading Accent 1"/>
    <w:basedOn w:val="Normlntabulka"/>
    <w:uiPriority w:val="71"/>
    <w:rsid w:val="00CB0664"/>
    <w:pPr>
      <w:spacing w:after="0" w:line="240" w:lineRule="auto"/>
    </w:pPr>
    <w:rPr>
      <w:color w:val="000000" w:themeColor="text1"/>
    </w:rPr>
    <w:tblPr>
      <w:tblStyleRowBandSize w:val="1"/>
      <w:tblStyleColBandSize w:val="1"/>
      <w:tblBorders>
        <w:top w:val="single" w:sz="24" w:space="0" w:color="2683C6" w:themeColor="accent2"/>
        <w:left w:val="single" w:sz="4" w:space="0" w:color="1CADE4" w:themeColor="accent1"/>
        <w:bottom w:val="single" w:sz="4" w:space="0" w:color="1CADE4" w:themeColor="accent1"/>
        <w:right w:val="single" w:sz="4" w:space="0" w:color="1CADE4" w:themeColor="accent1"/>
        <w:insideH w:val="single" w:sz="4" w:space="0" w:color="FFFFFF" w:themeColor="background1"/>
        <w:insideV w:val="single" w:sz="4" w:space="0" w:color="FFFFFF" w:themeColor="background1"/>
      </w:tblBorders>
    </w:tblPr>
    <w:tcPr>
      <w:shd w:val="clear" w:color="auto" w:fill="E8F6FC" w:themeFill="accent1" w:themeFillTint="19"/>
    </w:tcPr>
    <w:tblStylePr w:type="firstRow">
      <w:rPr>
        <w:b/>
        <w:bCs/>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06788" w:themeFill="accent1" w:themeFillShade="99"/>
      </w:tcPr>
    </w:tblStylePr>
    <w:tblStylePr w:type="firstCol">
      <w:rPr>
        <w:color w:val="FFFFFF" w:themeColor="background1"/>
      </w:rPr>
      <w:tblPr/>
      <w:tcPr>
        <w:tcBorders>
          <w:top w:val="nil"/>
          <w:left w:val="nil"/>
          <w:bottom w:val="nil"/>
          <w:right w:val="nil"/>
          <w:insideH w:val="single" w:sz="4" w:space="0" w:color="106788" w:themeColor="accent1" w:themeShade="99"/>
          <w:insideV w:val="nil"/>
        </w:tcBorders>
        <w:shd w:val="clear" w:color="auto" w:fill="10678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06788" w:themeFill="accent1" w:themeFillShade="99"/>
      </w:tcPr>
    </w:tblStylePr>
    <w:tblStylePr w:type="band1Vert">
      <w:tblPr/>
      <w:tcPr>
        <w:shd w:val="clear" w:color="auto" w:fill="A4DDF4" w:themeFill="accent1" w:themeFillTint="66"/>
      </w:tcPr>
    </w:tblStylePr>
    <w:tblStylePr w:type="band1Horz">
      <w:tblPr/>
      <w:tcPr>
        <w:shd w:val="clear" w:color="auto" w:fill="8DD5F1" w:themeFill="accent1" w:themeFillTint="7F"/>
      </w:tcPr>
    </w:tblStylePr>
    <w:tblStylePr w:type="neCell">
      <w:rPr>
        <w:color w:val="000000" w:themeColor="text1"/>
      </w:rPr>
    </w:tblStylePr>
    <w:tblStylePr w:type="nwCell">
      <w:rPr>
        <w:color w:val="000000" w:themeColor="text1"/>
      </w:rPr>
    </w:tblStylePr>
  </w:style>
  <w:style w:type="table" w:styleId="Barevnstnovnzvraznn2">
    <w:name w:val="Colorful Shading Accent 2"/>
    <w:basedOn w:val="Normlntabulka"/>
    <w:uiPriority w:val="71"/>
    <w:rsid w:val="00CB0664"/>
    <w:pPr>
      <w:spacing w:after="0" w:line="240" w:lineRule="auto"/>
    </w:pPr>
    <w:rPr>
      <w:color w:val="000000" w:themeColor="text1"/>
    </w:rPr>
    <w:tblPr>
      <w:tblStyleRowBandSize w:val="1"/>
      <w:tblStyleColBandSize w:val="1"/>
      <w:tblBorders>
        <w:top w:val="single" w:sz="24" w:space="0" w:color="2683C6" w:themeColor="accent2"/>
        <w:left w:val="single" w:sz="4" w:space="0" w:color="2683C6" w:themeColor="accent2"/>
        <w:bottom w:val="single" w:sz="4" w:space="0" w:color="2683C6" w:themeColor="accent2"/>
        <w:right w:val="single" w:sz="4" w:space="0" w:color="2683C6" w:themeColor="accent2"/>
        <w:insideH w:val="single" w:sz="4" w:space="0" w:color="FFFFFF" w:themeColor="background1"/>
        <w:insideV w:val="single" w:sz="4" w:space="0" w:color="FFFFFF" w:themeColor="background1"/>
      </w:tblBorders>
    </w:tblPr>
    <w:tcPr>
      <w:shd w:val="clear" w:color="auto" w:fill="E8F2FA" w:themeFill="accent2" w:themeFillTint="19"/>
    </w:tcPr>
    <w:tblStylePr w:type="firstRow">
      <w:rPr>
        <w:b/>
        <w:bCs/>
      </w:rPr>
      <w:tblPr/>
      <w:tcPr>
        <w:tcBorders>
          <w:top w:val="nil"/>
          <w:left w:val="nil"/>
          <w:bottom w:val="single" w:sz="24" w:space="0" w:color="2683C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4E76" w:themeFill="accent2" w:themeFillShade="99"/>
      </w:tcPr>
    </w:tblStylePr>
    <w:tblStylePr w:type="firstCol">
      <w:rPr>
        <w:color w:val="FFFFFF" w:themeColor="background1"/>
      </w:rPr>
      <w:tblPr/>
      <w:tcPr>
        <w:tcBorders>
          <w:top w:val="nil"/>
          <w:left w:val="nil"/>
          <w:bottom w:val="nil"/>
          <w:right w:val="nil"/>
          <w:insideH w:val="single" w:sz="4" w:space="0" w:color="164E76" w:themeColor="accent2" w:themeShade="99"/>
          <w:insideV w:val="nil"/>
        </w:tcBorders>
        <w:shd w:val="clear" w:color="auto" w:fill="164E76"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64E76" w:themeFill="accent2" w:themeFillShade="99"/>
      </w:tcPr>
    </w:tblStylePr>
    <w:tblStylePr w:type="band1Vert">
      <w:tblPr/>
      <w:tcPr>
        <w:shd w:val="clear" w:color="auto" w:fill="A3CEED" w:themeFill="accent2" w:themeFillTint="66"/>
      </w:tcPr>
    </w:tblStylePr>
    <w:tblStylePr w:type="band1Horz">
      <w:tblPr/>
      <w:tcPr>
        <w:shd w:val="clear" w:color="auto" w:fill="8CC2E9" w:themeFill="accent2" w:themeFillTint="7F"/>
      </w:tcPr>
    </w:tblStylePr>
    <w:tblStylePr w:type="neCell">
      <w:rPr>
        <w:color w:val="000000" w:themeColor="text1"/>
      </w:rPr>
    </w:tblStylePr>
    <w:tblStylePr w:type="nwCell">
      <w:rPr>
        <w:color w:val="000000" w:themeColor="text1"/>
      </w:rPr>
    </w:tblStylePr>
  </w:style>
  <w:style w:type="table" w:styleId="Barevnstnovnzvraznn3">
    <w:name w:val="Colorful Shading Accent 3"/>
    <w:basedOn w:val="Normlntabulka"/>
    <w:uiPriority w:val="71"/>
    <w:rsid w:val="00CB0664"/>
    <w:pPr>
      <w:spacing w:after="0" w:line="240" w:lineRule="auto"/>
    </w:pPr>
    <w:rPr>
      <w:color w:val="000000" w:themeColor="text1"/>
    </w:rPr>
    <w:tblPr>
      <w:tblStyleRowBandSize w:val="1"/>
      <w:tblStyleColBandSize w:val="1"/>
      <w:tblBorders>
        <w:top w:val="single" w:sz="24" w:space="0" w:color="42BA97" w:themeColor="accent4"/>
        <w:left w:val="single" w:sz="4" w:space="0" w:color="27CED7" w:themeColor="accent3"/>
        <w:bottom w:val="single" w:sz="4" w:space="0" w:color="27CED7" w:themeColor="accent3"/>
        <w:right w:val="single" w:sz="4" w:space="0" w:color="27CED7" w:themeColor="accent3"/>
        <w:insideH w:val="single" w:sz="4" w:space="0" w:color="FFFFFF" w:themeColor="background1"/>
        <w:insideV w:val="single" w:sz="4" w:space="0" w:color="FFFFFF" w:themeColor="background1"/>
      </w:tblBorders>
    </w:tblPr>
    <w:tcPr>
      <w:shd w:val="clear" w:color="auto" w:fill="E9FAFB" w:themeFill="accent3" w:themeFillTint="19"/>
    </w:tcPr>
    <w:tblStylePr w:type="firstRow">
      <w:rPr>
        <w:b/>
        <w:bCs/>
      </w:rPr>
      <w:tblPr/>
      <w:tcPr>
        <w:tcBorders>
          <w:top w:val="nil"/>
          <w:left w:val="nil"/>
          <w:bottom w:val="single" w:sz="24" w:space="0" w:color="42BA9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77B80" w:themeFill="accent3" w:themeFillShade="99"/>
      </w:tcPr>
    </w:tblStylePr>
    <w:tblStylePr w:type="firstCol">
      <w:rPr>
        <w:color w:val="FFFFFF" w:themeColor="background1"/>
      </w:rPr>
      <w:tblPr/>
      <w:tcPr>
        <w:tcBorders>
          <w:top w:val="nil"/>
          <w:left w:val="nil"/>
          <w:bottom w:val="nil"/>
          <w:right w:val="nil"/>
          <w:insideH w:val="single" w:sz="4" w:space="0" w:color="177B80" w:themeColor="accent3" w:themeShade="99"/>
          <w:insideV w:val="nil"/>
        </w:tcBorders>
        <w:shd w:val="clear" w:color="auto" w:fill="177B8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77B80" w:themeFill="accent3" w:themeFillShade="99"/>
      </w:tcPr>
    </w:tblStylePr>
    <w:tblStylePr w:type="band1Vert">
      <w:tblPr/>
      <w:tcPr>
        <w:shd w:val="clear" w:color="auto" w:fill="A8EBEF" w:themeFill="accent3" w:themeFillTint="66"/>
      </w:tcPr>
    </w:tblStylePr>
    <w:tblStylePr w:type="band1Horz">
      <w:tblPr/>
      <w:tcPr>
        <w:shd w:val="clear" w:color="auto" w:fill="92E6EB" w:themeFill="accent3" w:themeFillTint="7F"/>
      </w:tcPr>
    </w:tblStylePr>
  </w:style>
  <w:style w:type="table" w:styleId="Barevnstnovnzvraznn4">
    <w:name w:val="Colorful Shading Accent 4"/>
    <w:basedOn w:val="Normlntabulka"/>
    <w:uiPriority w:val="71"/>
    <w:rsid w:val="00CB0664"/>
    <w:pPr>
      <w:spacing w:after="0" w:line="240" w:lineRule="auto"/>
    </w:pPr>
    <w:rPr>
      <w:color w:val="000000" w:themeColor="text1"/>
    </w:rPr>
    <w:tblPr>
      <w:tblStyleRowBandSize w:val="1"/>
      <w:tblStyleColBandSize w:val="1"/>
      <w:tblBorders>
        <w:top w:val="single" w:sz="24" w:space="0" w:color="27CED7" w:themeColor="accent3"/>
        <w:left w:val="single" w:sz="4" w:space="0" w:color="42BA97" w:themeColor="accent4"/>
        <w:bottom w:val="single" w:sz="4" w:space="0" w:color="42BA97" w:themeColor="accent4"/>
        <w:right w:val="single" w:sz="4" w:space="0" w:color="42BA97" w:themeColor="accent4"/>
        <w:insideH w:val="single" w:sz="4" w:space="0" w:color="FFFFFF" w:themeColor="background1"/>
        <w:insideV w:val="single" w:sz="4" w:space="0" w:color="FFFFFF" w:themeColor="background1"/>
      </w:tblBorders>
    </w:tblPr>
    <w:tcPr>
      <w:shd w:val="clear" w:color="auto" w:fill="ECF8F4" w:themeFill="accent4" w:themeFillTint="19"/>
    </w:tcPr>
    <w:tblStylePr w:type="firstRow">
      <w:rPr>
        <w:b/>
        <w:bCs/>
      </w:rPr>
      <w:tblPr/>
      <w:tcPr>
        <w:tcBorders>
          <w:top w:val="nil"/>
          <w:left w:val="nil"/>
          <w:bottom w:val="single" w:sz="24" w:space="0" w:color="27CED7"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F5A" w:themeFill="accent4" w:themeFillShade="99"/>
      </w:tcPr>
    </w:tblStylePr>
    <w:tblStylePr w:type="firstCol">
      <w:rPr>
        <w:color w:val="FFFFFF" w:themeColor="background1"/>
      </w:rPr>
      <w:tblPr/>
      <w:tcPr>
        <w:tcBorders>
          <w:top w:val="nil"/>
          <w:left w:val="nil"/>
          <w:bottom w:val="nil"/>
          <w:right w:val="nil"/>
          <w:insideH w:val="single" w:sz="4" w:space="0" w:color="276F5A" w:themeColor="accent4" w:themeShade="99"/>
          <w:insideV w:val="nil"/>
        </w:tcBorders>
        <w:shd w:val="clear" w:color="auto" w:fill="276F5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76F5A" w:themeFill="accent4" w:themeFillShade="99"/>
      </w:tcPr>
    </w:tblStylePr>
    <w:tblStylePr w:type="band1Vert">
      <w:tblPr/>
      <w:tcPr>
        <w:shd w:val="clear" w:color="auto" w:fill="B2E4D5" w:themeFill="accent4" w:themeFillTint="66"/>
      </w:tcPr>
    </w:tblStylePr>
    <w:tblStylePr w:type="band1Horz">
      <w:tblPr/>
      <w:tcPr>
        <w:shd w:val="clear" w:color="auto" w:fill="A0DDCB" w:themeFill="accent4" w:themeFillTint="7F"/>
      </w:tcPr>
    </w:tblStylePr>
    <w:tblStylePr w:type="neCell">
      <w:rPr>
        <w:color w:val="000000" w:themeColor="text1"/>
      </w:rPr>
    </w:tblStylePr>
    <w:tblStylePr w:type="nwCell">
      <w:rPr>
        <w:color w:val="000000" w:themeColor="text1"/>
      </w:rPr>
    </w:tblStylePr>
  </w:style>
  <w:style w:type="table" w:styleId="Barevnstnovnzvraznn5">
    <w:name w:val="Colorful Shading Accent 5"/>
    <w:basedOn w:val="Normlntabulka"/>
    <w:uiPriority w:val="71"/>
    <w:rsid w:val="00CB0664"/>
    <w:pPr>
      <w:spacing w:after="0" w:line="240" w:lineRule="auto"/>
    </w:pPr>
    <w:rPr>
      <w:color w:val="000000" w:themeColor="text1"/>
    </w:rPr>
    <w:tblPr>
      <w:tblStyleRowBandSize w:val="1"/>
      <w:tblStyleColBandSize w:val="1"/>
      <w:tblBorders>
        <w:top w:val="single" w:sz="24" w:space="0" w:color="62A39F" w:themeColor="accent6"/>
        <w:left w:val="single" w:sz="4" w:space="0" w:color="3E8853" w:themeColor="accent5"/>
        <w:bottom w:val="single" w:sz="4" w:space="0" w:color="3E8853" w:themeColor="accent5"/>
        <w:right w:val="single" w:sz="4" w:space="0" w:color="3E8853" w:themeColor="accent5"/>
        <w:insideH w:val="single" w:sz="4" w:space="0" w:color="FFFFFF" w:themeColor="background1"/>
        <w:insideV w:val="single" w:sz="4" w:space="0" w:color="FFFFFF" w:themeColor="background1"/>
      </w:tblBorders>
    </w:tblPr>
    <w:tcPr>
      <w:shd w:val="clear" w:color="auto" w:fill="E9F5ED" w:themeFill="accent5" w:themeFillTint="19"/>
    </w:tcPr>
    <w:tblStylePr w:type="firstRow">
      <w:rPr>
        <w:b/>
        <w:bCs/>
      </w:rPr>
      <w:tblPr/>
      <w:tcPr>
        <w:tcBorders>
          <w:top w:val="nil"/>
          <w:left w:val="nil"/>
          <w:bottom w:val="single" w:sz="24" w:space="0" w:color="62A39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131" w:themeFill="accent5" w:themeFillShade="99"/>
      </w:tcPr>
    </w:tblStylePr>
    <w:tblStylePr w:type="firstCol">
      <w:rPr>
        <w:color w:val="FFFFFF" w:themeColor="background1"/>
      </w:rPr>
      <w:tblPr/>
      <w:tcPr>
        <w:tcBorders>
          <w:top w:val="nil"/>
          <w:left w:val="nil"/>
          <w:bottom w:val="nil"/>
          <w:right w:val="nil"/>
          <w:insideH w:val="single" w:sz="4" w:space="0" w:color="255131" w:themeColor="accent5" w:themeShade="99"/>
          <w:insideV w:val="nil"/>
        </w:tcBorders>
        <w:shd w:val="clear" w:color="auto" w:fill="25513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131" w:themeFill="accent5" w:themeFillShade="99"/>
      </w:tcPr>
    </w:tblStylePr>
    <w:tblStylePr w:type="band1Vert">
      <w:tblPr/>
      <w:tcPr>
        <w:shd w:val="clear" w:color="auto" w:fill="A9D7B6" w:themeFill="accent5" w:themeFillTint="66"/>
      </w:tcPr>
    </w:tblStylePr>
    <w:tblStylePr w:type="band1Horz">
      <w:tblPr/>
      <w:tcPr>
        <w:shd w:val="clear" w:color="auto" w:fill="94CEA4" w:themeFill="accent5" w:themeFillTint="7F"/>
      </w:tcPr>
    </w:tblStylePr>
    <w:tblStylePr w:type="neCell">
      <w:rPr>
        <w:color w:val="000000" w:themeColor="text1"/>
      </w:rPr>
    </w:tblStylePr>
    <w:tblStylePr w:type="nwCell">
      <w:rPr>
        <w:color w:val="000000" w:themeColor="text1"/>
      </w:rPr>
    </w:tblStylePr>
  </w:style>
  <w:style w:type="table" w:styleId="Barevnstnovnzvraznn6">
    <w:name w:val="Colorful Shading Accent 6"/>
    <w:basedOn w:val="Normlntabulka"/>
    <w:uiPriority w:val="71"/>
    <w:rsid w:val="00CB0664"/>
    <w:pPr>
      <w:spacing w:after="0" w:line="240" w:lineRule="auto"/>
    </w:pPr>
    <w:rPr>
      <w:color w:val="000000" w:themeColor="text1"/>
    </w:rPr>
    <w:tblPr>
      <w:tblStyleRowBandSize w:val="1"/>
      <w:tblStyleColBandSize w:val="1"/>
      <w:tblBorders>
        <w:top w:val="single" w:sz="24" w:space="0" w:color="3E8853" w:themeColor="accent5"/>
        <w:left w:val="single" w:sz="4" w:space="0" w:color="62A39F" w:themeColor="accent6"/>
        <w:bottom w:val="single" w:sz="4" w:space="0" w:color="62A39F" w:themeColor="accent6"/>
        <w:right w:val="single" w:sz="4" w:space="0" w:color="62A39F" w:themeColor="accent6"/>
        <w:insideH w:val="single" w:sz="4" w:space="0" w:color="FFFFFF" w:themeColor="background1"/>
        <w:insideV w:val="single" w:sz="4" w:space="0" w:color="FFFFFF" w:themeColor="background1"/>
      </w:tblBorders>
    </w:tblPr>
    <w:tcPr>
      <w:shd w:val="clear" w:color="auto" w:fill="EFF6F5" w:themeFill="accent6" w:themeFillTint="19"/>
    </w:tcPr>
    <w:tblStylePr w:type="firstRow">
      <w:rPr>
        <w:b/>
        <w:bCs/>
      </w:rPr>
      <w:tblPr/>
      <w:tcPr>
        <w:tcBorders>
          <w:top w:val="nil"/>
          <w:left w:val="nil"/>
          <w:bottom w:val="single" w:sz="24" w:space="0" w:color="3E885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625F" w:themeFill="accent6" w:themeFillShade="99"/>
      </w:tcPr>
    </w:tblStylePr>
    <w:tblStylePr w:type="firstCol">
      <w:rPr>
        <w:color w:val="FFFFFF" w:themeColor="background1"/>
      </w:rPr>
      <w:tblPr/>
      <w:tcPr>
        <w:tcBorders>
          <w:top w:val="nil"/>
          <w:left w:val="nil"/>
          <w:bottom w:val="nil"/>
          <w:right w:val="nil"/>
          <w:insideH w:val="single" w:sz="4" w:space="0" w:color="39625F" w:themeColor="accent6" w:themeShade="99"/>
          <w:insideV w:val="nil"/>
        </w:tcBorders>
        <w:shd w:val="clear" w:color="auto" w:fill="39625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9625F" w:themeFill="accent6" w:themeFillShade="99"/>
      </w:tcPr>
    </w:tblStylePr>
    <w:tblStylePr w:type="band1Vert">
      <w:tblPr/>
      <w:tcPr>
        <w:shd w:val="clear" w:color="auto" w:fill="C0DAD8" w:themeFill="accent6" w:themeFillTint="66"/>
      </w:tcPr>
    </w:tblStylePr>
    <w:tblStylePr w:type="band1Horz">
      <w:tblPr/>
      <w:tcPr>
        <w:shd w:val="clear" w:color="auto" w:fill="B0D1CF" w:themeFill="accent6" w:themeFillTint="7F"/>
      </w:tcPr>
    </w:tblStylePr>
    <w:tblStylePr w:type="neCell">
      <w:rPr>
        <w:color w:val="000000" w:themeColor="text1"/>
      </w:rPr>
    </w:tblStylePr>
    <w:tblStylePr w:type="nwCell">
      <w:rPr>
        <w:color w:val="000000" w:themeColor="text1"/>
      </w:rPr>
    </w:tblStylePr>
  </w:style>
  <w:style w:type="table" w:styleId="Barevnseznam">
    <w:name w:val="Colorful List"/>
    <w:basedOn w:val="Normlntabulka"/>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1E689E" w:themeFill="accent2" w:themeFillShade="CC"/>
      </w:tcPr>
    </w:tblStylePr>
    <w:tblStylePr w:type="lastRow">
      <w:rPr>
        <w:b/>
        <w:bCs/>
        <w:color w:val="1E689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evnseznamzvraznn1">
    <w:name w:val="Colorful List Accent 1"/>
    <w:basedOn w:val="Normlntabulka"/>
    <w:uiPriority w:val="72"/>
    <w:rsid w:val="00CB0664"/>
    <w:pPr>
      <w:spacing w:after="0" w:line="240" w:lineRule="auto"/>
    </w:pPr>
    <w:rPr>
      <w:color w:val="000000" w:themeColor="text1"/>
    </w:rPr>
    <w:tblPr>
      <w:tblStyleRowBandSize w:val="1"/>
      <w:tblStyleColBandSize w:val="1"/>
    </w:tblPr>
    <w:tcPr>
      <w:shd w:val="clear" w:color="auto" w:fill="E8F6FC" w:themeFill="accent1" w:themeFillTint="19"/>
    </w:tcPr>
    <w:tblStylePr w:type="firstRow">
      <w:rPr>
        <w:b/>
        <w:bCs/>
        <w:color w:val="FFFFFF" w:themeColor="background1"/>
      </w:rPr>
      <w:tblPr/>
      <w:tcPr>
        <w:tcBorders>
          <w:bottom w:val="single" w:sz="12" w:space="0" w:color="FFFFFF" w:themeColor="background1"/>
        </w:tcBorders>
        <w:shd w:val="clear" w:color="auto" w:fill="1E689E" w:themeFill="accent2" w:themeFillShade="CC"/>
      </w:tcPr>
    </w:tblStylePr>
    <w:tblStylePr w:type="lastRow">
      <w:rPr>
        <w:b/>
        <w:bCs/>
        <w:color w:val="1E689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6EAF8" w:themeFill="accent1" w:themeFillTint="3F"/>
      </w:tcPr>
    </w:tblStylePr>
    <w:tblStylePr w:type="band1Horz">
      <w:tblPr/>
      <w:tcPr>
        <w:shd w:val="clear" w:color="auto" w:fill="D1EEF9" w:themeFill="accent1" w:themeFillTint="33"/>
      </w:tcPr>
    </w:tblStylePr>
  </w:style>
  <w:style w:type="table" w:styleId="Barevnseznamzvraznn2">
    <w:name w:val="Colorful List Accent 2"/>
    <w:basedOn w:val="Normlntabulka"/>
    <w:uiPriority w:val="72"/>
    <w:rsid w:val="00CB0664"/>
    <w:pPr>
      <w:spacing w:after="0" w:line="240" w:lineRule="auto"/>
    </w:pPr>
    <w:rPr>
      <w:color w:val="000000" w:themeColor="text1"/>
    </w:rPr>
    <w:tblPr>
      <w:tblStyleRowBandSize w:val="1"/>
      <w:tblStyleColBandSize w:val="1"/>
    </w:tblPr>
    <w:tcPr>
      <w:shd w:val="clear" w:color="auto" w:fill="E8F2FA" w:themeFill="accent2" w:themeFillTint="19"/>
    </w:tcPr>
    <w:tblStylePr w:type="firstRow">
      <w:rPr>
        <w:b/>
        <w:bCs/>
        <w:color w:val="FFFFFF" w:themeColor="background1"/>
      </w:rPr>
      <w:tblPr/>
      <w:tcPr>
        <w:tcBorders>
          <w:bottom w:val="single" w:sz="12" w:space="0" w:color="FFFFFF" w:themeColor="background1"/>
        </w:tcBorders>
        <w:shd w:val="clear" w:color="auto" w:fill="1E689E" w:themeFill="accent2" w:themeFillShade="CC"/>
      </w:tcPr>
    </w:tblStylePr>
    <w:tblStylePr w:type="lastRow">
      <w:rPr>
        <w:b/>
        <w:bCs/>
        <w:color w:val="1E689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5E0F4" w:themeFill="accent2" w:themeFillTint="3F"/>
      </w:tcPr>
    </w:tblStylePr>
    <w:tblStylePr w:type="band1Horz">
      <w:tblPr/>
      <w:tcPr>
        <w:shd w:val="clear" w:color="auto" w:fill="D0E6F6" w:themeFill="accent2" w:themeFillTint="33"/>
      </w:tcPr>
    </w:tblStylePr>
  </w:style>
  <w:style w:type="table" w:styleId="Barevnseznamzvraznn3">
    <w:name w:val="Colorful List Accent 3"/>
    <w:basedOn w:val="Normlntabulka"/>
    <w:uiPriority w:val="72"/>
    <w:rsid w:val="00CB0664"/>
    <w:pPr>
      <w:spacing w:after="0" w:line="240" w:lineRule="auto"/>
    </w:pPr>
    <w:rPr>
      <w:color w:val="000000" w:themeColor="text1"/>
    </w:rPr>
    <w:tblPr>
      <w:tblStyleRowBandSize w:val="1"/>
      <w:tblStyleColBandSize w:val="1"/>
    </w:tblPr>
    <w:tcPr>
      <w:shd w:val="clear" w:color="auto" w:fill="E9FAFB" w:themeFill="accent3" w:themeFillTint="19"/>
    </w:tcPr>
    <w:tblStylePr w:type="firstRow">
      <w:rPr>
        <w:b/>
        <w:bCs/>
        <w:color w:val="FFFFFF" w:themeColor="background1"/>
      </w:rPr>
      <w:tblPr/>
      <w:tcPr>
        <w:tcBorders>
          <w:bottom w:val="single" w:sz="12" w:space="0" w:color="FFFFFF" w:themeColor="background1"/>
        </w:tcBorders>
        <w:shd w:val="clear" w:color="auto" w:fill="349478" w:themeFill="accent4" w:themeFillShade="CC"/>
      </w:tcPr>
    </w:tblStylePr>
    <w:tblStylePr w:type="lastRow">
      <w:rPr>
        <w:b/>
        <w:bCs/>
        <w:color w:val="34947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F2F5" w:themeFill="accent3" w:themeFillTint="3F"/>
      </w:tcPr>
    </w:tblStylePr>
    <w:tblStylePr w:type="band1Horz">
      <w:tblPr/>
      <w:tcPr>
        <w:shd w:val="clear" w:color="auto" w:fill="D3F5F7" w:themeFill="accent3" w:themeFillTint="33"/>
      </w:tcPr>
    </w:tblStylePr>
  </w:style>
  <w:style w:type="table" w:styleId="Barevnseznamzvraznn4">
    <w:name w:val="Colorful List Accent 4"/>
    <w:basedOn w:val="Normlntabulka"/>
    <w:uiPriority w:val="72"/>
    <w:rsid w:val="00CB0664"/>
    <w:pPr>
      <w:spacing w:after="0" w:line="240" w:lineRule="auto"/>
    </w:pPr>
    <w:rPr>
      <w:color w:val="000000" w:themeColor="text1"/>
    </w:rPr>
    <w:tblPr>
      <w:tblStyleRowBandSize w:val="1"/>
      <w:tblStyleColBandSize w:val="1"/>
    </w:tblPr>
    <w:tcPr>
      <w:shd w:val="clear" w:color="auto" w:fill="ECF8F4" w:themeFill="accent4" w:themeFillTint="19"/>
    </w:tcPr>
    <w:tblStylePr w:type="firstRow">
      <w:rPr>
        <w:b/>
        <w:bCs/>
        <w:color w:val="FFFFFF" w:themeColor="background1"/>
      </w:rPr>
      <w:tblPr/>
      <w:tcPr>
        <w:tcBorders>
          <w:bottom w:val="single" w:sz="12" w:space="0" w:color="FFFFFF" w:themeColor="background1"/>
        </w:tcBorders>
        <w:shd w:val="clear" w:color="auto" w:fill="1FA3AB" w:themeFill="accent3" w:themeFillShade="CC"/>
      </w:tcPr>
    </w:tblStylePr>
    <w:tblStylePr w:type="lastRow">
      <w:rPr>
        <w:b/>
        <w:bCs/>
        <w:color w:val="1FA3AB"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EEE5" w:themeFill="accent4" w:themeFillTint="3F"/>
      </w:tcPr>
    </w:tblStylePr>
    <w:tblStylePr w:type="band1Horz">
      <w:tblPr/>
      <w:tcPr>
        <w:shd w:val="clear" w:color="auto" w:fill="D8F1EA" w:themeFill="accent4" w:themeFillTint="33"/>
      </w:tcPr>
    </w:tblStylePr>
  </w:style>
  <w:style w:type="table" w:styleId="Barevnseznamzvraznn5">
    <w:name w:val="Colorful List Accent 5"/>
    <w:basedOn w:val="Normlntabulka"/>
    <w:uiPriority w:val="72"/>
    <w:rsid w:val="00CB0664"/>
    <w:pPr>
      <w:spacing w:after="0" w:line="240" w:lineRule="auto"/>
    </w:pPr>
    <w:rPr>
      <w:color w:val="000000" w:themeColor="text1"/>
    </w:rPr>
    <w:tblPr>
      <w:tblStyleRowBandSize w:val="1"/>
      <w:tblStyleColBandSize w:val="1"/>
    </w:tblPr>
    <w:tcPr>
      <w:shd w:val="clear" w:color="auto" w:fill="E9F5ED" w:themeFill="accent5" w:themeFillTint="19"/>
    </w:tcPr>
    <w:tblStylePr w:type="firstRow">
      <w:rPr>
        <w:b/>
        <w:bCs/>
        <w:color w:val="FFFFFF" w:themeColor="background1"/>
      </w:rPr>
      <w:tblPr/>
      <w:tcPr>
        <w:tcBorders>
          <w:bottom w:val="single" w:sz="12" w:space="0" w:color="FFFFFF" w:themeColor="background1"/>
        </w:tcBorders>
        <w:shd w:val="clear" w:color="auto" w:fill="4D8380" w:themeFill="accent6" w:themeFillShade="CC"/>
      </w:tcPr>
    </w:tblStylePr>
    <w:tblStylePr w:type="lastRow">
      <w:rPr>
        <w:b/>
        <w:bCs/>
        <w:color w:val="4D838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E6D2" w:themeFill="accent5" w:themeFillTint="3F"/>
      </w:tcPr>
    </w:tblStylePr>
    <w:tblStylePr w:type="band1Horz">
      <w:tblPr/>
      <w:tcPr>
        <w:shd w:val="clear" w:color="auto" w:fill="D3EBDA" w:themeFill="accent5" w:themeFillTint="33"/>
      </w:tcPr>
    </w:tblStylePr>
  </w:style>
  <w:style w:type="table" w:styleId="Barevnseznamzvraznn6">
    <w:name w:val="Colorful List Accent 6"/>
    <w:basedOn w:val="Normlntabulka"/>
    <w:uiPriority w:val="72"/>
    <w:rsid w:val="00CB0664"/>
    <w:pPr>
      <w:spacing w:after="0" w:line="240" w:lineRule="auto"/>
    </w:pPr>
    <w:rPr>
      <w:color w:val="000000" w:themeColor="text1"/>
    </w:rPr>
    <w:tblPr>
      <w:tblStyleRowBandSize w:val="1"/>
      <w:tblStyleColBandSize w:val="1"/>
    </w:tblPr>
    <w:tcPr>
      <w:shd w:val="clear" w:color="auto" w:fill="EFF6F5" w:themeFill="accent6" w:themeFillTint="19"/>
    </w:tcPr>
    <w:tblStylePr w:type="firstRow">
      <w:rPr>
        <w:b/>
        <w:bCs/>
        <w:color w:val="FFFFFF" w:themeColor="background1"/>
      </w:rPr>
      <w:tblPr/>
      <w:tcPr>
        <w:tcBorders>
          <w:bottom w:val="single" w:sz="12" w:space="0" w:color="FFFFFF" w:themeColor="background1"/>
        </w:tcBorders>
        <w:shd w:val="clear" w:color="auto" w:fill="316C42" w:themeFill="accent5" w:themeFillShade="CC"/>
      </w:tcPr>
    </w:tblStylePr>
    <w:tblStylePr w:type="lastRow">
      <w:rPr>
        <w:b/>
        <w:bCs/>
        <w:color w:val="316C4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E8E7" w:themeFill="accent6" w:themeFillTint="3F"/>
      </w:tcPr>
    </w:tblStylePr>
    <w:tblStylePr w:type="band1Horz">
      <w:tblPr/>
      <w:tcPr>
        <w:shd w:val="clear" w:color="auto" w:fill="DFECEB" w:themeFill="accent6" w:themeFillTint="33"/>
      </w:tcPr>
    </w:tblStylePr>
  </w:style>
  <w:style w:type="table" w:styleId="Barevnmka">
    <w:name w:val="Colorful Grid"/>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evnmkazvraznn1">
    <w:name w:val="Colorful Grid Accent 1"/>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1EEF9" w:themeFill="accent1" w:themeFillTint="33"/>
    </w:tcPr>
    <w:tblStylePr w:type="firstRow">
      <w:rPr>
        <w:b/>
        <w:bCs/>
      </w:rPr>
      <w:tblPr/>
      <w:tcPr>
        <w:shd w:val="clear" w:color="auto" w:fill="A4DDF4" w:themeFill="accent1" w:themeFillTint="66"/>
      </w:tcPr>
    </w:tblStylePr>
    <w:tblStylePr w:type="lastRow">
      <w:rPr>
        <w:b/>
        <w:bCs/>
        <w:color w:val="000000" w:themeColor="text1"/>
      </w:rPr>
      <w:tblPr/>
      <w:tcPr>
        <w:shd w:val="clear" w:color="auto" w:fill="A4DDF4" w:themeFill="accent1" w:themeFillTint="66"/>
      </w:tcPr>
    </w:tblStylePr>
    <w:tblStylePr w:type="firstCol">
      <w:rPr>
        <w:color w:val="FFFFFF" w:themeColor="background1"/>
      </w:rPr>
      <w:tblPr/>
      <w:tcPr>
        <w:shd w:val="clear" w:color="auto" w:fill="1481AB" w:themeFill="accent1" w:themeFillShade="BF"/>
      </w:tcPr>
    </w:tblStylePr>
    <w:tblStylePr w:type="lastCol">
      <w:rPr>
        <w:color w:val="FFFFFF" w:themeColor="background1"/>
      </w:rPr>
      <w:tblPr/>
      <w:tcPr>
        <w:shd w:val="clear" w:color="auto" w:fill="1481AB" w:themeFill="accent1" w:themeFillShade="BF"/>
      </w:tcPr>
    </w:tblStylePr>
    <w:tblStylePr w:type="band1Vert">
      <w:tblPr/>
      <w:tcPr>
        <w:shd w:val="clear" w:color="auto" w:fill="8DD5F1" w:themeFill="accent1" w:themeFillTint="7F"/>
      </w:tcPr>
    </w:tblStylePr>
    <w:tblStylePr w:type="band1Horz">
      <w:tblPr/>
      <w:tcPr>
        <w:shd w:val="clear" w:color="auto" w:fill="8DD5F1" w:themeFill="accent1" w:themeFillTint="7F"/>
      </w:tcPr>
    </w:tblStylePr>
  </w:style>
  <w:style w:type="table" w:styleId="Barevnmkazvraznn2">
    <w:name w:val="Colorful Grid Accent 2"/>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0E6F6" w:themeFill="accent2" w:themeFillTint="33"/>
    </w:tcPr>
    <w:tblStylePr w:type="firstRow">
      <w:rPr>
        <w:b/>
        <w:bCs/>
      </w:rPr>
      <w:tblPr/>
      <w:tcPr>
        <w:shd w:val="clear" w:color="auto" w:fill="A3CEED" w:themeFill="accent2" w:themeFillTint="66"/>
      </w:tcPr>
    </w:tblStylePr>
    <w:tblStylePr w:type="lastRow">
      <w:rPr>
        <w:b/>
        <w:bCs/>
        <w:color w:val="000000" w:themeColor="text1"/>
      </w:rPr>
      <w:tblPr/>
      <w:tcPr>
        <w:shd w:val="clear" w:color="auto" w:fill="A3CEED" w:themeFill="accent2" w:themeFillTint="66"/>
      </w:tcPr>
    </w:tblStylePr>
    <w:tblStylePr w:type="firstCol">
      <w:rPr>
        <w:color w:val="FFFFFF" w:themeColor="background1"/>
      </w:rPr>
      <w:tblPr/>
      <w:tcPr>
        <w:shd w:val="clear" w:color="auto" w:fill="1C6194" w:themeFill="accent2" w:themeFillShade="BF"/>
      </w:tcPr>
    </w:tblStylePr>
    <w:tblStylePr w:type="lastCol">
      <w:rPr>
        <w:color w:val="FFFFFF" w:themeColor="background1"/>
      </w:rPr>
      <w:tblPr/>
      <w:tcPr>
        <w:shd w:val="clear" w:color="auto" w:fill="1C6194" w:themeFill="accent2" w:themeFillShade="BF"/>
      </w:tcPr>
    </w:tblStylePr>
    <w:tblStylePr w:type="band1Vert">
      <w:tblPr/>
      <w:tcPr>
        <w:shd w:val="clear" w:color="auto" w:fill="8CC2E9" w:themeFill="accent2" w:themeFillTint="7F"/>
      </w:tcPr>
    </w:tblStylePr>
    <w:tblStylePr w:type="band1Horz">
      <w:tblPr/>
      <w:tcPr>
        <w:shd w:val="clear" w:color="auto" w:fill="8CC2E9" w:themeFill="accent2" w:themeFillTint="7F"/>
      </w:tcPr>
    </w:tblStylePr>
  </w:style>
  <w:style w:type="table" w:styleId="Barevnmkazvraznn3">
    <w:name w:val="Colorful Grid Accent 3"/>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3F5F7" w:themeFill="accent3" w:themeFillTint="33"/>
    </w:tcPr>
    <w:tblStylePr w:type="firstRow">
      <w:rPr>
        <w:b/>
        <w:bCs/>
      </w:rPr>
      <w:tblPr/>
      <w:tcPr>
        <w:shd w:val="clear" w:color="auto" w:fill="A8EBEF" w:themeFill="accent3" w:themeFillTint="66"/>
      </w:tcPr>
    </w:tblStylePr>
    <w:tblStylePr w:type="lastRow">
      <w:rPr>
        <w:b/>
        <w:bCs/>
        <w:color w:val="000000" w:themeColor="text1"/>
      </w:rPr>
      <w:tblPr/>
      <w:tcPr>
        <w:shd w:val="clear" w:color="auto" w:fill="A8EBEF" w:themeFill="accent3" w:themeFillTint="66"/>
      </w:tcPr>
    </w:tblStylePr>
    <w:tblStylePr w:type="firstCol">
      <w:rPr>
        <w:color w:val="FFFFFF" w:themeColor="background1"/>
      </w:rPr>
      <w:tblPr/>
      <w:tcPr>
        <w:shd w:val="clear" w:color="auto" w:fill="1D99A0" w:themeFill="accent3" w:themeFillShade="BF"/>
      </w:tcPr>
    </w:tblStylePr>
    <w:tblStylePr w:type="lastCol">
      <w:rPr>
        <w:color w:val="FFFFFF" w:themeColor="background1"/>
      </w:rPr>
      <w:tblPr/>
      <w:tcPr>
        <w:shd w:val="clear" w:color="auto" w:fill="1D99A0" w:themeFill="accent3" w:themeFillShade="BF"/>
      </w:tcPr>
    </w:tblStylePr>
    <w:tblStylePr w:type="band1Vert">
      <w:tblPr/>
      <w:tcPr>
        <w:shd w:val="clear" w:color="auto" w:fill="92E6EB" w:themeFill="accent3" w:themeFillTint="7F"/>
      </w:tcPr>
    </w:tblStylePr>
    <w:tblStylePr w:type="band1Horz">
      <w:tblPr/>
      <w:tcPr>
        <w:shd w:val="clear" w:color="auto" w:fill="92E6EB" w:themeFill="accent3" w:themeFillTint="7F"/>
      </w:tcPr>
    </w:tblStylePr>
  </w:style>
  <w:style w:type="table" w:styleId="Barevnmkazvraznn4">
    <w:name w:val="Colorful Grid Accent 4"/>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8F1EA" w:themeFill="accent4" w:themeFillTint="33"/>
    </w:tcPr>
    <w:tblStylePr w:type="firstRow">
      <w:rPr>
        <w:b/>
        <w:bCs/>
      </w:rPr>
      <w:tblPr/>
      <w:tcPr>
        <w:shd w:val="clear" w:color="auto" w:fill="B2E4D5" w:themeFill="accent4" w:themeFillTint="66"/>
      </w:tcPr>
    </w:tblStylePr>
    <w:tblStylePr w:type="lastRow">
      <w:rPr>
        <w:b/>
        <w:bCs/>
        <w:color w:val="000000" w:themeColor="text1"/>
      </w:rPr>
      <w:tblPr/>
      <w:tcPr>
        <w:shd w:val="clear" w:color="auto" w:fill="B2E4D5" w:themeFill="accent4" w:themeFillTint="66"/>
      </w:tcPr>
    </w:tblStylePr>
    <w:tblStylePr w:type="firstCol">
      <w:rPr>
        <w:color w:val="FFFFFF" w:themeColor="background1"/>
      </w:rPr>
      <w:tblPr/>
      <w:tcPr>
        <w:shd w:val="clear" w:color="auto" w:fill="318B70" w:themeFill="accent4" w:themeFillShade="BF"/>
      </w:tcPr>
    </w:tblStylePr>
    <w:tblStylePr w:type="lastCol">
      <w:rPr>
        <w:color w:val="FFFFFF" w:themeColor="background1"/>
      </w:rPr>
      <w:tblPr/>
      <w:tcPr>
        <w:shd w:val="clear" w:color="auto" w:fill="318B70" w:themeFill="accent4" w:themeFillShade="BF"/>
      </w:tcPr>
    </w:tblStylePr>
    <w:tblStylePr w:type="band1Vert">
      <w:tblPr/>
      <w:tcPr>
        <w:shd w:val="clear" w:color="auto" w:fill="A0DDCB" w:themeFill="accent4" w:themeFillTint="7F"/>
      </w:tcPr>
    </w:tblStylePr>
    <w:tblStylePr w:type="band1Horz">
      <w:tblPr/>
      <w:tcPr>
        <w:shd w:val="clear" w:color="auto" w:fill="A0DDCB" w:themeFill="accent4" w:themeFillTint="7F"/>
      </w:tcPr>
    </w:tblStylePr>
  </w:style>
  <w:style w:type="table" w:styleId="Barevnmkazvraznn5">
    <w:name w:val="Colorful Grid Accent 5"/>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3EBDA" w:themeFill="accent5" w:themeFillTint="33"/>
    </w:tcPr>
    <w:tblStylePr w:type="firstRow">
      <w:rPr>
        <w:b/>
        <w:bCs/>
      </w:rPr>
      <w:tblPr/>
      <w:tcPr>
        <w:shd w:val="clear" w:color="auto" w:fill="A9D7B6" w:themeFill="accent5" w:themeFillTint="66"/>
      </w:tcPr>
    </w:tblStylePr>
    <w:tblStylePr w:type="lastRow">
      <w:rPr>
        <w:b/>
        <w:bCs/>
        <w:color w:val="000000" w:themeColor="text1"/>
      </w:rPr>
      <w:tblPr/>
      <w:tcPr>
        <w:shd w:val="clear" w:color="auto" w:fill="A9D7B6" w:themeFill="accent5" w:themeFillTint="66"/>
      </w:tcPr>
    </w:tblStylePr>
    <w:tblStylePr w:type="firstCol">
      <w:rPr>
        <w:color w:val="FFFFFF" w:themeColor="background1"/>
      </w:rPr>
      <w:tblPr/>
      <w:tcPr>
        <w:shd w:val="clear" w:color="auto" w:fill="2E653E" w:themeFill="accent5" w:themeFillShade="BF"/>
      </w:tcPr>
    </w:tblStylePr>
    <w:tblStylePr w:type="lastCol">
      <w:rPr>
        <w:color w:val="FFFFFF" w:themeColor="background1"/>
      </w:rPr>
      <w:tblPr/>
      <w:tcPr>
        <w:shd w:val="clear" w:color="auto" w:fill="2E653E" w:themeFill="accent5" w:themeFillShade="BF"/>
      </w:tcPr>
    </w:tblStylePr>
    <w:tblStylePr w:type="band1Vert">
      <w:tblPr/>
      <w:tcPr>
        <w:shd w:val="clear" w:color="auto" w:fill="94CEA4" w:themeFill="accent5" w:themeFillTint="7F"/>
      </w:tcPr>
    </w:tblStylePr>
    <w:tblStylePr w:type="band1Horz">
      <w:tblPr/>
      <w:tcPr>
        <w:shd w:val="clear" w:color="auto" w:fill="94CEA4" w:themeFill="accent5" w:themeFillTint="7F"/>
      </w:tcPr>
    </w:tblStylePr>
  </w:style>
  <w:style w:type="table" w:styleId="Barevnmkazvraznn6">
    <w:name w:val="Colorful Grid Accent 6"/>
    <w:basedOn w:val="Normlntabul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FECEB" w:themeFill="accent6" w:themeFillTint="33"/>
    </w:tcPr>
    <w:tblStylePr w:type="firstRow">
      <w:rPr>
        <w:b/>
        <w:bCs/>
      </w:rPr>
      <w:tblPr/>
      <w:tcPr>
        <w:shd w:val="clear" w:color="auto" w:fill="C0DAD8" w:themeFill="accent6" w:themeFillTint="66"/>
      </w:tcPr>
    </w:tblStylePr>
    <w:tblStylePr w:type="lastRow">
      <w:rPr>
        <w:b/>
        <w:bCs/>
        <w:color w:val="000000" w:themeColor="text1"/>
      </w:rPr>
      <w:tblPr/>
      <w:tcPr>
        <w:shd w:val="clear" w:color="auto" w:fill="C0DAD8" w:themeFill="accent6" w:themeFillTint="66"/>
      </w:tcPr>
    </w:tblStylePr>
    <w:tblStylePr w:type="firstCol">
      <w:rPr>
        <w:color w:val="FFFFFF" w:themeColor="background1"/>
      </w:rPr>
      <w:tblPr/>
      <w:tcPr>
        <w:shd w:val="clear" w:color="auto" w:fill="487B77" w:themeFill="accent6" w:themeFillShade="BF"/>
      </w:tcPr>
    </w:tblStylePr>
    <w:tblStylePr w:type="lastCol">
      <w:rPr>
        <w:color w:val="FFFFFF" w:themeColor="background1"/>
      </w:rPr>
      <w:tblPr/>
      <w:tcPr>
        <w:shd w:val="clear" w:color="auto" w:fill="487B77" w:themeFill="accent6" w:themeFillShade="BF"/>
      </w:tcPr>
    </w:tblStylePr>
    <w:tblStylePr w:type="band1Vert">
      <w:tblPr/>
      <w:tcPr>
        <w:shd w:val="clear" w:color="auto" w:fill="B0D1CF" w:themeFill="accent6" w:themeFillTint="7F"/>
      </w:tcPr>
    </w:tblStylePr>
    <w:tblStylePr w:type="band1Horz">
      <w:tblPr/>
      <w:tcPr>
        <w:shd w:val="clear" w:color="auto" w:fill="B0D1CF" w:themeFill="accent6" w:themeFillTint="7F"/>
      </w:tcPr>
    </w:tblStylePr>
  </w:style>
  <w:style w:type="character" w:customStyle="1" w:styleId="BezmezerChar">
    <w:name w:val="Bez mezer Char"/>
    <w:link w:val="Bezmezer"/>
    <w:uiPriority w:val="1"/>
    <w:rsid w:val="1EB33230"/>
  </w:style>
  <w:style w:type="paragraph" w:styleId="Obsah1">
    <w:name w:val="toc 1"/>
    <w:uiPriority w:val="39"/>
    <w:unhideWhenUsed/>
    <w:rsid w:val="1EB33230"/>
    <w:pPr>
      <w:spacing w:after="100"/>
    </w:pPr>
  </w:style>
  <w:style w:type="paragraph" w:styleId="Obsah2">
    <w:name w:val="toc 2"/>
    <w:uiPriority w:val="39"/>
    <w:unhideWhenUsed/>
    <w:rsid w:val="1EB33230"/>
    <w:pPr>
      <w:spacing w:after="100"/>
      <w:ind w:left="200"/>
    </w:pPr>
  </w:style>
  <w:style w:type="paragraph" w:styleId="Obsah3">
    <w:name w:val="toc 3"/>
    <w:uiPriority w:val="39"/>
    <w:unhideWhenUsed/>
    <w:rsid w:val="1EB33230"/>
    <w:pPr>
      <w:spacing w:after="100"/>
      <w:ind w:left="400"/>
    </w:pPr>
  </w:style>
  <w:style w:type="character" w:styleId="Hypertextovodkaz">
    <w:name w:val="Hyperlink"/>
    <w:uiPriority w:val="99"/>
    <w:unhideWhenUsed/>
    <w:rsid w:val="1EB33230"/>
    <w:rPr>
      <w:color w:val="6B9F25"/>
      <w:u w:val="single"/>
    </w:rPr>
  </w:style>
  <w:style w:type="character" w:customStyle="1" w:styleId="normaltextrun">
    <w:name w:val="normaltextrun"/>
    <w:uiPriority w:val="1"/>
    <w:rsid w:val="1EB33230"/>
    <w:rPr>
      <w:rFonts w:asciiTheme="minorHAnsi" w:eastAsiaTheme="minorEastAsia" w:hAnsiTheme="minorHAnsi" w:cstheme="minorBidi"/>
      <w:sz w:val="22"/>
      <w:szCs w:val="22"/>
    </w:rPr>
  </w:style>
  <w:style w:type="character" w:customStyle="1" w:styleId="eop">
    <w:name w:val="eop"/>
    <w:uiPriority w:val="1"/>
    <w:rsid w:val="1EB33230"/>
    <w:rPr>
      <w:rFonts w:asciiTheme="minorHAnsi" w:eastAsiaTheme="minorEastAsia" w:hAnsiTheme="minorHAnsi" w:cstheme="minorBidi"/>
      <w:sz w:val="22"/>
      <w:szCs w:val="22"/>
    </w:rPr>
  </w:style>
  <w:style w:type="paragraph" w:customStyle="1" w:styleId="paragraph">
    <w:name w:val="paragraph"/>
    <w:uiPriority w:val="1"/>
    <w:rsid w:val="1EB33230"/>
    <w:pPr>
      <w:spacing w:beforeAutospacing="1" w:afterAutospacing="1" w:line="240" w:lineRule="auto"/>
    </w:pPr>
    <w:rPr>
      <w:sz w:val="24"/>
      <w:szCs w:val="24"/>
      <w:lang w:val="cs-CZ"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F1A3D4DBC784856BA1DB1359AE0DF7F"/>
        <w:category>
          <w:name w:val="Obecné"/>
          <w:gallery w:val="placeholder"/>
        </w:category>
        <w:types>
          <w:type w:val="bbPlcHdr"/>
        </w:types>
        <w:behaviors>
          <w:behavior w:val="content"/>
        </w:behaviors>
        <w:guid w:val="{CE29912F-E3EC-4727-9C13-2D2357AB0A0C}"/>
      </w:docPartPr>
      <w:docPartBody>
        <w:p w:rsidR="00457297" w:rsidRDefault="00B65344" w:rsidP="00B65344">
          <w:pPr>
            <w:pStyle w:val="3F1A3D4DBC784856BA1DB1359AE0DF7F"/>
          </w:pPr>
          <w:r>
            <w:rPr>
              <w:color w:val="0F4761" w:themeColor="accent1" w:themeShade="BF"/>
            </w:rPr>
            <w:t>[Název společnosti]</w:t>
          </w:r>
        </w:p>
      </w:docPartBody>
    </w:docPart>
    <w:docPart>
      <w:docPartPr>
        <w:name w:val="992C4F85AECE4B67A8363D7B4678F486"/>
        <w:category>
          <w:name w:val="Obecné"/>
          <w:gallery w:val="placeholder"/>
        </w:category>
        <w:types>
          <w:type w:val="bbPlcHdr"/>
        </w:types>
        <w:behaviors>
          <w:behavior w:val="content"/>
        </w:behaviors>
        <w:guid w:val="{2B5CAE50-DC1C-4C70-8C71-E02B24C5652E}"/>
      </w:docPartPr>
      <w:docPartBody>
        <w:p w:rsidR="00457297" w:rsidRDefault="00B65344" w:rsidP="00B65344">
          <w:pPr>
            <w:pStyle w:val="992C4F85AECE4B67A8363D7B4678F486"/>
          </w:pPr>
          <w:r>
            <w:rPr>
              <w:rFonts w:asciiTheme="majorHAnsi" w:eastAsiaTheme="majorEastAsia" w:hAnsiTheme="majorHAnsi" w:cstheme="majorBidi"/>
              <w:color w:val="156082" w:themeColor="accent1"/>
              <w:sz w:val="88"/>
              <w:szCs w:val="88"/>
            </w:rPr>
            <w:t>[Název dokumentu]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EE"/>
    <w:family w:val="swiss"/>
    <w:pitch w:val="variable"/>
    <w:sig w:usb0="00000007" w:usb1="00000000" w:usb2="00000000" w:usb3="00000000" w:csb0="00000003" w:csb1="00000000"/>
  </w:font>
  <w:font w:name="Meiryo">
    <w:charset w:val="80"/>
    <w:family w:val="swiss"/>
    <w:pitch w:val="variable"/>
    <w:sig w:usb0="E00002FF" w:usb1="6AC7FFFF" w:usb2="08000012" w:usb3="00000000" w:csb0="0002009F" w:csb1="00000000"/>
  </w:font>
  <w:font w:name="Arial">
    <w:panose1 w:val="020B0604020202020204"/>
    <w:charset w:val="EE"/>
    <w:family w:val="swiss"/>
    <w:pitch w:val="variable"/>
    <w:sig w:usb0="E0002EFF" w:usb1="C000785B" w:usb2="00000009" w:usb3="00000000" w:csb0="000001FF" w:csb1="00000000"/>
  </w:font>
  <w:font w:name="Tw Cen MT Condensed">
    <w:panose1 w:val="020B0606020104020203"/>
    <w:charset w:val="EE"/>
    <w:family w:val="swiss"/>
    <w:pitch w:val="variable"/>
    <w:sig w:usb0="00000007" w:usb1="00000000" w:usb2="00000000" w:usb3="00000000" w:csb0="00000003" w:csb1="00000000"/>
  </w:font>
  <w:font w:name="Courier">
    <w:panose1 w:val="020703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344"/>
    <w:rsid w:val="000F370A"/>
    <w:rsid w:val="00113DDE"/>
    <w:rsid w:val="00140E14"/>
    <w:rsid w:val="00186BB4"/>
    <w:rsid w:val="00327B7B"/>
    <w:rsid w:val="004044F2"/>
    <w:rsid w:val="00457297"/>
    <w:rsid w:val="004B1948"/>
    <w:rsid w:val="0088063F"/>
    <w:rsid w:val="00964C11"/>
    <w:rsid w:val="00B5528C"/>
    <w:rsid w:val="00B65344"/>
    <w:rsid w:val="00CC0636"/>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3F1A3D4DBC784856BA1DB1359AE0DF7F">
    <w:name w:val="3F1A3D4DBC784856BA1DB1359AE0DF7F"/>
    <w:rsid w:val="00B65344"/>
  </w:style>
  <w:style w:type="paragraph" w:customStyle="1" w:styleId="992C4F85AECE4B67A8363D7B4678F486">
    <w:name w:val="992C4F85AECE4B67A8363D7B4678F486"/>
    <w:rsid w:val="00B653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ntegrál">
  <a:themeElements>
    <a:clrScheme name="Integrá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á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á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5164</Words>
  <Characters>30473</Characters>
  <Application>Microsoft Office Word</Application>
  <DocSecurity>0</DocSecurity>
  <Lines>253</Lines>
  <Paragraphs>71</Paragraphs>
  <ScaleCrop>false</ScaleCrop>
  <Manager/>
  <Company>Národní strategie pro vzácná onemocnění 2026-2035</Company>
  <LinksUpToDate>false</LinksUpToDate>
  <CharactersWithSpaces>35566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Implementační plán strategického cíle č. 2</dc:title>
  <dc:subject/>
  <dc:creator>python-docx</dc:creator>
  <cp:keywords/>
  <dc:description>generated by python-docx</dc:description>
  <cp:lastModifiedBy>Lichterová Simona, Mgr.</cp:lastModifiedBy>
  <cp:revision>22</cp:revision>
  <dcterms:created xsi:type="dcterms:W3CDTF">2026-06-02T05:18:00Z</dcterms:created>
  <dcterms:modified xsi:type="dcterms:W3CDTF">2026-06-24T06:06:00Z</dcterms:modified>
  <cp:category/>
</cp:coreProperties>
</file>