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459158012"/>
        <w:docPartObj>
          <w:docPartGallery w:val="Cover Pages"/>
          <w:docPartUnique/>
        </w:docPartObj>
      </w:sdtPr>
      <w:sdtEndPr>
        <w:rPr>
          <w:b/>
          <w:bCs/>
          <w:sz w:val="24"/>
          <w:szCs w:val="24"/>
        </w:rPr>
      </w:sdtEndPr>
      <w:sdtContent>
        <w:p w14:paraId="54A32F9B" w14:textId="3C6F1CC3" w:rsidR="00AF0805" w:rsidRDefault="00AF0805"/>
        <w:tbl>
          <w:tblPr>
            <w:tblpPr w:leftFromText="187" w:rightFromText="187" w:horzAnchor="margin" w:tblpXSpec="center" w:tblpY="2881"/>
            <w:tblW w:w="4000" w:type="pct"/>
            <w:tblBorders>
              <w:left w:val="single" w:sz="12" w:space="0" w:color="4472C4" w:themeColor="accent1"/>
            </w:tblBorders>
            <w:tblCellMar>
              <w:left w:w="144" w:type="dxa"/>
              <w:right w:w="115" w:type="dxa"/>
            </w:tblCellMar>
            <w:tblLook w:val="04A0" w:firstRow="1" w:lastRow="0" w:firstColumn="1" w:lastColumn="0" w:noHBand="0" w:noVBand="1"/>
          </w:tblPr>
          <w:tblGrid>
            <w:gridCol w:w="7246"/>
          </w:tblGrid>
          <w:tr w:rsidR="00AF0805" w14:paraId="5123CC89" w14:textId="77777777" w:rsidTr="00AF0805">
            <w:sdt>
              <w:sdtPr>
                <w:rPr>
                  <w:b/>
                  <w:bCs/>
                  <w:sz w:val="30"/>
                  <w:szCs w:val="30"/>
                  <w:shd w:val="clear" w:color="auto" w:fill="D9E2F3" w:themeFill="accent1" w:themeFillTint="33"/>
                </w:rPr>
                <w:alias w:val="Společnost"/>
                <w:id w:val="13406915"/>
                <w:placeholder>
                  <w:docPart w:val="20F79235026C430B9C21657FCF4621E8"/>
                </w:placeholder>
                <w:dataBinding w:prefixMappings="xmlns:ns0='http://schemas.openxmlformats.org/officeDocument/2006/extended-properties'" w:xpath="/ns0:Properties[1]/ns0:Company[1]" w:storeItemID="{6668398D-A668-4E3E-A5EB-62B293D839F1}"/>
                <w:text/>
              </w:sdtPr>
              <w:sdtContent>
                <w:tc>
                  <w:tcPr>
                    <w:tcW w:w="7246" w:type="dxa"/>
                    <w:shd w:val="clear" w:color="auto" w:fill="D9E2F3" w:themeFill="accent1" w:themeFillTint="33"/>
                    <w:tcMar>
                      <w:top w:w="216" w:type="dxa"/>
                      <w:left w:w="115" w:type="dxa"/>
                      <w:bottom w:w="216" w:type="dxa"/>
                      <w:right w:w="115" w:type="dxa"/>
                    </w:tcMar>
                  </w:tcPr>
                  <w:p w14:paraId="13662846" w14:textId="467249C3" w:rsidR="00AF0805" w:rsidRPr="000D5CBF" w:rsidRDefault="00AF0805" w:rsidP="00AF0805">
                    <w:pPr>
                      <w:pStyle w:val="Bezmezer"/>
                      <w:jc w:val="center"/>
                      <w:rPr>
                        <w:b/>
                        <w:bCs/>
                        <w:sz w:val="30"/>
                        <w:szCs w:val="30"/>
                      </w:rPr>
                    </w:pPr>
                    <w:r w:rsidRPr="000D5CBF">
                      <w:rPr>
                        <w:b/>
                        <w:bCs/>
                        <w:sz w:val="30"/>
                        <w:szCs w:val="30"/>
                        <w:shd w:val="clear" w:color="auto" w:fill="D9E2F3" w:themeFill="accent1" w:themeFillTint="33"/>
                      </w:rPr>
                      <w:t>Národní strategie pro vzácná onemocnění 2026-2035</w:t>
                    </w:r>
                  </w:p>
                </w:tc>
              </w:sdtContent>
            </w:sdt>
          </w:tr>
          <w:tr w:rsidR="00AF0805" w14:paraId="438C6262" w14:textId="77777777" w:rsidTr="000D5CBF">
            <w:trPr>
              <w:trHeight w:val="2459"/>
            </w:trPr>
            <w:tc>
              <w:tcPr>
                <w:tcW w:w="7246" w:type="dxa"/>
                <w:shd w:val="clear" w:color="auto" w:fill="002060"/>
                <w:vAlign w:val="center"/>
              </w:tcPr>
              <w:sdt>
                <w:sdtPr>
                  <w:rPr>
                    <w:rFonts w:asciiTheme="majorHAnsi" w:eastAsiaTheme="majorEastAsia" w:hAnsiTheme="majorHAnsi" w:cstheme="majorBidi"/>
                    <w:b/>
                    <w:bCs/>
                    <w:color w:val="FFFFFF" w:themeColor="background1"/>
                    <w:sz w:val="72"/>
                    <w:szCs w:val="72"/>
                  </w:rPr>
                  <w:alias w:val="Název"/>
                  <w:id w:val="13406919"/>
                  <w:placeholder>
                    <w:docPart w:val="6264C3A3CA0B4BAB9C864269D4833F07"/>
                  </w:placeholder>
                  <w:dataBinding w:prefixMappings="xmlns:ns0='http://schemas.openxmlformats.org/package/2006/metadata/core-properties' xmlns:ns1='http://purl.org/dc/elements/1.1/'" w:xpath="/ns0:coreProperties[1]/ns1:title[1]" w:storeItemID="{6C3C8BC8-F283-45AE-878A-BAB7291924A1}"/>
                  <w:text/>
                </w:sdtPr>
                <w:sdtContent>
                  <w:p w14:paraId="656A8C11" w14:textId="12C29337" w:rsidR="00AF0805" w:rsidRPr="00AF0805" w:rsidRDefault="00AF0805" w:rsidP="000D5CBF">
                    <w:pPr>
                      <w:pStyle w:val="Bezmezer"/>
                      <w:spacing w:line="216" w:lineRule="auto"/>
                      <w:jc w:val="center"/>
                      <w:rPr>
                        <w:rFonts w:asciiTheme="majorHAnsi" w:eastAsiaTheme="majorEastAsia" w:hAnsiTheme="majorHAnsi" w:cstheme="majorBidi"/>
                        <w:color w:val="1F3864" w:themeColor="accent1" w:themeShade="80"/>
                        <w:sz w:val="88"/>
                        <w:szCs w:val="88"/>
                      </w:rPr>
                    </w:pPr>
                    <w:r w:rsidRPr="00AF0805">
                      <w:rPr>
                        <w:rFonts w:asciiTheme="majorHAnsi" w:eastAsiaTheme="majorEastAsia" w:hAnsiTheme="majorHAnsi" w:cstheme="majorBidi"/>
                        <w:b/>
                        <w:bCs/>
                        <w:color w:val="FFFFFF" w:themeColor="background1"/>
                        <w:sz w:val="72"/>
                        <w:szCs w:val="72"/>
                      </w:rPr>
                      <w:t xml:space="preserve">Implementační </w:t>
                    </w:r>
                    <w:r w:rsidR="00B27888">
                      <w:rPr>
                        <w:rFonts w:asciiTheme="majorHAnsi" w:eastAsiaTheme="majorEastAsia" w:hAnsiTheme="majorHAnsi" w:cstheme="majorBidi"/>
                        <w:b/>
                        <w:bCs/>
                        <w:color w:val="FFFFFF" w:themeColor="background1"/>
                        <w:sz w:val="72"/>
                        <w:szCs w:val="72"/>
                      </w:rPr>
                      <w:t>rámec NSVO</w:t>
                    </w:r>
                  </w:p>
                </w:sdtContent>
              </w:sdt>
            </w:tc>
          </w:tr>
        </w:tbl>
        <w:p w14:paraId="0E2596C2" w14:textId="531536D7" w:rsidR="00294F84" w:rsidRDefault="00AF0805" w:rsidP="00294F84">
          <w:pPr>
            <w:rPr>
              <w:b/>
              <w:bCs/>
              <w:sz w:val="24"/>
              <w:szCs w:val="24"/>
            </w:rPr>
          </w:pPr>
          <w:r>
            <w:rPr>
              <w:b/>
              <w:bCs/>
              <w:sz w:val="24"/>
              <w:szCs w:val="24"/>
            </w:rPr>
            <w:br w:type="page"/>
          </w:r>
        </w:p>
      </w:sdtContent>
    </w:sdt>
    <w:p w14:paraId="137FF424" w14:textId="589CB055" w:rsidR="00D8608F" w:rsidRPr="00294F84" w:rsidRDefault="00D8608F" w:rsidP="00294F84">
      <w:pPr>
        <w:rPr>
          <w:b/>
          <w:bCs/>
          <w:sz w:val="24"/>
          <w:szCs w:val="24"/>
        </w:rPr>
      </w:pPr>
      <w:r w:rsidRPr="000B7D62">
        <w:rPr>
          <w:b/>
          <w:bCs/>
          <w:sz w:val="40"/>
          <w:szCs w:val="40"/>
        </w:rPr>
        <w:lastRenderedPageBreak/>
        <w:t xml:space="preserve">Implementační </w:t>
      </w:r>
      <w:r w:rsidR="00B36829" w:rsidRPr="000B7D62">
        <w:rPr>
          <w:b/>
          <w:bCs/>
          <w:sz w:val="40"/>
          <w:szCs w:val="40"/>
        </w:rPr>
        <w:t>rámec</w:t>
      </w:r>
      <w:r w:rsidRPr="000B7D62">
        <w:rPr>
          <w:b/>
          <w:bCs/>
          <w:sz w:val="40"/>
          <w:szCs w:val="40"/>
        </w:rPr>
        <w:t xml:space="preserve"> NSVO 2026–2035</w:t>
      </w:r>
    </w:p>
    <w:p w14:paraId="2EC5B789" w14:textId="4777AEC9" w:rsidR="00D8608F" w:rsidRDefault="00D8608F" w:rsidP="006A1B40">
      <w:pPr>
        <w:pStyle w:val="Nadpis1"/>
      </w:pPr>
      <w:r>
        <w:t>Úvod</w:t>
      </w:r>
    </w:p>
    <w:p w14:paraId="65863C3E" w14:textId="539A7B11" w:rsidR="1BE6422D" w:rsidRDefault="1BE6422D" w:rsidP="6986671B">
      <w:pPr>
        <w:jc w:val="both"/>
      </w:pPr>
      <w:r>
        <w:t xml:space="preserve">S ohledem na vznik Národní strategie pro vzácná onemocnění 2026-2035 (dále jen “NSVO”) byly také vytvořeny jednotlivé Implementační plány, které slouží jako důležitý implementační nástroj </w:t>
      </w:r>
      <w:r w:rsidR="00294F84">
        <w:t xml:space="preserve">    </w:t>
      </w:r>
      <w:r>
        <w:t>k jejím konkrétním cílům.</w:t>
      </w:r>
      <w:r w:rsidR="4E5421E0">
        <w:t xml:space="preserve"> </w:t>
      </w:r>
      <w:r>
        <w:t>Jedná se dokument, který může být v průběhu realizace NSV</w:t>
      </w:r>
      <w:r w:rsidR="5D0BF6D6">
        <w:t xml:space="preserve">O </w:t>
      </w:r>
      <w:r>
        <w:t>aktualizován dle potřeby a zejména možností realizace některých cílů nebo dalších důležitých okolností zasahujících do samotné implementace.</w:t>
      </w:r>
    </w:p>
    <w:p w14:paraId="57585262" w14:textId="7C744E2F" w:rsidR="1BE6422D" w:rsidRDefault="1BE6422D" w:rsidP="6986671B">
      <w:pPr>
        <w:jc w:val="both"/>
      </w:pPr>
      <w:r>
        <w:t>NSVO a Implementační plány byly vytvořen</w:t>
      </w:r>
      <w:r w:rsidR="1E669D64">
        <w:t>y</w:t>
      </w:r>
      <w:r>
        <w:t xml:space="preserve"> ve spolupráci s odbornou veřejností a zástupci pacientů v rámci projektu ministerstva zdravotnictví „Návrh systému komplexní sdílené zdravotně-sociální péče o pacienty se vzácnými onemocněními – SYPOVO“, registrační číslo CZ.03.02.02/00/22_046/0002450, který je spolufinancovaný Evropskou unií z Operačního programu Zaměstnanost plus.</w:t>
      </w:r>
    </w:p>
    <w:p w14:paraId="4A0665B6" w14:textId="09BAB96D" w:rsidR="6986671B" w:rsidRDefault="6986671B" w:rsidP="6986671B"/>
    <w:p w14:paraId="769F7E2F" w14:textId="77349E98" w:rsidR="00B36829" w:rsidRDefault="00D71E9D" w:rsidP="00B36829">
      <w:pPr>
        <w:pStyle w:val="Nadpis2"/>
      </w:pPr>
      <w:r>
        <w:t>Účel implementačního rámce</w:t>
      </w:r>
    </w:p>
    <w:p w14:paraId="7E9510AA" w14:textId="68E51BCF" w:rsidR="00D71E9D" w:rsidRPr="00D71E9D" w:rsidRDefault="00D71E9D" w:rsidP="00D71E9D">
      <w:pPr>
        <w:jc w:val="both"/>
      </w:pPr>
      <w:r>
        <w:t>Implementační rámec Národní strategie pro vzácná onemocnění 2026–2035</w:t>
      </w:r>
      <w:r w:rsidR="0C493B4C">
        <w:t xml:space="preserve"> </w:t>
      </w:r>
      <w:r>
        <w:t>představuje zastřešující dokument, který stanovuje jednotný metodický, organizační</w:t>
      </w:r>
      <w:r w:rsidR="1DAAEFCC">
        <w:t>, implementační</w:t>
      </w:r>
      <w:r>
        <w:t xml:space="preserve"> a řídicí základ pro realizaci</w:t>
      </w:r>
      <w:r w:rsidR="00756BA3">
        <w:t xml:space="preserve"> </w:t>
      </w:r>
      <w:r>
        <w:t>strategie.</w:t>
      </w:r>
    </w:p>
    <w:p w14:paraId="37AD4CF5" w14:textId="77777777" w:rsidR="00D71E9D" w:rsidRPr="00D71E9D" w:rsidRDefault="00D71E9D" w:rsidP="00D71E9D">
      <w:r w:rsidRPr="00D71E9D">
        <w:t>Jeho účelem je:</w:t>
      </w:r>
    </w:p>
    <w:p w14:paraId="0E6E2EF2" w14:textId="48012B5A" w:rsidR="00D71E9D" w:rsidRPr="00D71E9D" w:rsidRDefault="00D71E9D" w:rsidP="00CB25AE">
      <w:pPr>
        <w:pStyle w:val="Odstavecseseznamem"/>
        <w:numPr>
          <w:ilvl w:val="0"/>
          <w:numId w:val="14"/>
        </w:numPr>
      </w:pPr>
      <w:r w:rsidRPr="00D71E9D">
        <w:t>vymezit způsob implementace NSVO prostřednictvím samostatných implementačních plánů</w:t>
      </w:r>
      <w:r w:rsidR="0037334D">
        <w:t xml:space="preserve"> (IP1, </w:t>
      </w:r>
      <w:r w:rsidR="00C672ED">
        <w:t>IP2, IP3, IP4 a IP5)</w:t>
      </w:r>
    </w:p>
    <w:p w14:paraId="340BA885" w14:textId="0A6FE6B5" w:rsidR="00D71E9D" w:rsidRPr="00D71E9D" w:rsidRDefault="00D71E9D" w:rsidP="00CB25AE">
      <w:pPr>
        <w:pStyle w:val="Odstavecseseznamem"/>
        <w:numPr>
          <w:ilvl w:val="0"/>
          <w:numId w:val="14"/>
        </w:numPr>
      </w:pPr>
      <w:r w:rsidRPr="00D71E9D">
        <w:t>stanovit jednotná pravidla řízení, monitoringu a evaluace</w:t>
      </w:r>
    </w:p>
    <w:p w14:paraId="3E4CCF68" w14:textId="337BC8B9" w:rsidR="00D71E9D" w:rsidRPr="00D71E9D" w:rsidRDefault="00D71E9D" w:rsidP="00CB25AE">
      <w:pPr>
        <w:pStyle w:val="Odstavecseseznamem"/>
        <w:numPr>
          <w:ilvl w:val="0"/>
          <w:numId w:val="14"/>
        </w:numPr>
      </w:pPr>
      <w:r w:rsidRPr="00D71E9D">
        <w:t>upravit principy řízení rizik a změn</w:t>
      </w:r>
    </w:p>
    <w:p w14:paraId="23BDA180" w14:textId="2B3AE730" w:rsidR="00D71E9D" w:rsidRPr="00D41454" w:rsidRDefault="006D5125" w:rsidP="00CB25AE">
      <w:pPr>
        <w:pStyle w:val="Odstavecseseznamem"/>
        <w:numPr>
          <w:ilvl w:val="0"/>
          <w:numId w:val="14"/>
        </w:numPr>
      </w:pPr>
      <w:r w:rsidRPr="00D41454">
        <w:t xml:space="preserve">stanovit principy financování </w:t>
      </w:r>
    </w:p>
    <w:p w14:paraId="3CE96160" w14:textId="643A6176" w:rsidR="00D71E9D" w:rsidRPr="00D71E9D" w:rsidRDefault="00D71E9D" w:rsidP="00CB25AE">
      <w:pPr>
        <w:pStyle w:val="Odstavecseseznamem"/>
        <w:numPr>
          <w:ilvl w:val="0"/>
          <w:numId w:val="14"/>
        </w:numPr>
      </w:pPr>
      <w:r>
        <w:t xml:space="preserve">nastavit </w:t>
      </w:r>
      <w:r w:rsidR="4E012474">
        <w:t xml:space="preserve">organizační a </w:t>
      </w:r>
      <w:r>
        <w:t>komunikační principy implementace</w:t>
      </w:r>
    </w:p>
    <w:p w14:paraId="60496A5A" w14:textId="77777777" w:rsidR="00D71E9D" w:rsidRPr="00D71E9D" w:rsidRDefault="00D71E9D" w:rsidP="00D71E9D">
      <w:r w:rsidRPr="00D71E9D">
        <w:t>Implementační rámec je platný pro celé období realizace NSVO (2026–2035).</w:t>
      </w:r>
    </w:p>
    <w:p w14:paraId="5D0C2344" w14:textId="2DBFF8AB" w:rsidR="000B7D62" w:rsidRPr="004F5B02" w:rsidRDefault="000B7D62" w:rsidP="6A427922">
      <w:pPr>
        <w:pStyle w:val="Nadpis2"/>
        <w:numPr>
          <w:ilvl w:val="0"/>
          <w:numId w:val="0"/>
        </w:numPr>
        <w:ind w:left="576" w:hanging="576"/>
      </w:pPr>
      <w:r w:rsidRPr="6A427922">
        <w:t>1.2 Struktura implementace NSVO</w:t>
      </w:r>
    </w:p>
    <w:p w14:paraId="35B1C956" w14:textId="582CC1A0" w:rsidR="000B7D62" w:rsidRPr="000B7D62" w:rsidRDefault="119381D0" w:rsidP="007D0A97">
      <w:pPr>
        <w:jc w:val="both"/>
      </w:pPr>
      <w:r>
        <w:t>NSVO je strukturována do pěti strategických cílů. Každý strategický cíl je realizován prostřednictvím samostatného implementačního plánu (IP1–IP5). Číslo strategického cíle odpovídá číslu implementačního plánu.  Schématické zarámování implementace NSVO je znázorněno na obrázku 1.</w:t>
      </w:r>
    </w:p>
    <w:p w14:paraId="0085B5B9" w14:textId="77777777" w:rsidR="000B7D62" w:rsidRPr="000B7D62" w:rsidRDefault="000B7D62" w:rsidP="000B7D62">
      <w:r w:rsidRPr="000B7D62">
        <w:t>Jednotlivé implementační plány:</w:t>
      </w:r>
    </w:p>
    <w:p w14:paraId="67CF9624" w14:textId="77777777" w:rsidR="004F5B02" w:rsidRDefault="000B7D62" w:rsidP="00CB25AE">
      <w:pPr>
        <w:pStyle w:val="Odstavecseseznamem"/>
        <w:numPr>
          <w:ilvl w:val="0"/>
          <w:numId w:val="15"/>
        </w:numPr>
      </w:pPr>
      <w:r>
        <w:t>jsou tematicky zaměřeny na konkrétní strategický cíl</w:t>
      </w:r>
    </w:p>
    <w:p w14:paraId="226C3068" w14:textId="473F709A" w:rsidR="000B7D62" w:rsidRPr="000B7D62" w:rsidRDefault="000B7D62" w:rsidP="00CB25AE">
      <w:pPr>
        <w:pStyle w:val="Odstavecseseznamem"/>
        <w:numPr>
          <w:ilvl w:val="0"/>
          <w:numId w:val="15"/>
        </w:numPr>
      </w:pPr>
      <w:r w:rsidRPr="000B7D62">
        <w:t>obsahují konkrétní opatření, aktivity a harmonogram</w:t>
      </w:r>
    </w:p>
    <w:p w14:paraId="2B89C80F" w14:textId="0D818ABA" w:rsidR="000B7D62" w:rsidRPr="000B7D62" w:rsidRDefault="000B7D62" w:rsidP="00CB25AE">
      <w:pPr>
        <w:pStyle w:val="Odstavecseseznamem"/>
        <w:numPr>
          <w:ilvl w:val="0"/>
          <w:numId w:val="15"/>
        </w:numPr>
      </w:pPr>
      <w:r w:rsidRPr="000B7D62">
        <w:t>jsou zpracovávány jako samostatné dokumenty</w:t>
      </w:r>
    </w:p>
    <w:p w14:paraId="77415F32" w14:textId="63B57A1E" w:rsidR="00E64150" w:rsidRPr="000B7D62" w:rsidRDefault="000B7D62" w:rsidP="034C28CC">
      <w:pPr>
        <w:pStyle w:val="Odstavecseseznamem"/>
        <w:numPr>
          <w:ilvl w:val="0"/>
          <w:numId w:val="15"/>
        </w:numPr>
      </w:pPr>
      <w:r>
        <w:t>neobsahují</w:t>
      </w:r>
      <w:r w:rsidR="007447D4">
        <w:t xml:space="preserve"> již</w:t>
      </w:r>
      <w:r>
        <w:t xml:space="preserve"> opakování obecných částí uvedených v tomto implementačním rámci.</w:t>
      </w:r>
    </w:p>
    <w:p w14:paraId="0A9B3994" w14:textId="2254DA2F" w:rsidR="00E64150" w:rsidRPr="000B7D62" w:rsidRDefault="000B7D62" w:rsidP="034C28CC">
      <w:r>
        <w:t>Implementační rámec zajišťuje jednotnost přístupu napříč všemi implementačními plány.</w:t>
      </w:r>
    </w:p>
    <w:p w14:paraId="2F9476C3" w14:textId="6D79CE86" w:rsidR="587A2DDE" w:rsidRDefault="587A2DDE" w:rsidP="50B70E25">
      <w:r>
        <w:rPr>
          <w:noProof/>
        </w:rPr>
        <w:lastRenderedPageBreak/>
        <w:drawing>
          <wp:inline distT="0" distB="0" distL="0" distR="0" wp14:anchorId="2E7021D7" wp14:editId="552FF082">
            <wp:extent cx="5762625" cy="4171950"/>
            <wp:effectExtent l="0" t="0" r="0" b="0"/>
            <wp:docPr id="76789352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893528" name="Picture 767893528"/>
                    <pic:cNvPicPr/>
                  </pic:nvPicPr>
                  <pic:blipFill>
                    <a:blip r:embed="rId8">
                      <a:extLst>
                        <a:ext uri="{28A0092B-C50C-407E-A947-70E740481C1C}">
                          <a14:useLocalDpi xmlns:a14="http://schemas.microsoft.com/office/drawing/2010/main"/>
                        </a:ext>
                      </a:extLst>
                    </a:blip>
                    <a:stretch>
                      <a:fillRect/>
                    </a:stretch>
                  </pic:blipFill>
                  <pic:spPr>
                    <a:xfrm>
                      <a:off x="0" y="0"/>
                      <a:ext cx="5762625" cy="4171950"/>
                    </a:xfrm>
                    <a:prstGeom prst="rect">
                      <a:avLst/>
                    </a:prstGeom>
                  </pic:spPr>
                </pic:pic>
              </a:graphicData>
            </a:graphic>
          </wp:inline>
        </w:drawing>
      </w:r>
    </w:p>
    <w:p w14:paraId="00243DFB" w14:textId="504D0C70" w:rsidR="004F5B02" w:rsidRDefault="00E64150" w:rsidP="00D71E9D">
      <w:r>
        <w:t>Obrázek 1:</w:t>
      </w:r>
      <w:r w:rsidR="520EABC0">
        <w:t xml:space="preserve"> </w:t>
      </w:r>
      <w:r w:rsidR="004F5B02">
        <w:t>Víceúrovňový realizační model průvodních dokumentů implementace NSVO</w:t>
      </w:r>
    </w:p>
    <w:p w14:paraId="36A76587" w14:textId="77777777" w:rsidR="000A0176" w:rsidRPr="00D71E9D" w:rsidRDefault="000A0176" w:rsidP="00D71E9D"/>
    <w:p w14:paraId="721ECDEB" w14:textId="409EF28F" w:rsidR="00D8608F" w:rsidRPr="00D8608F" w:rsidRDefault="00D8608F" w:rsidP="00CB25AE">
      <w:pPr>
        <w:pStyle w:val="Nadpis2"/>
        <w:numPr>
          <w:ilvl w:val="1"/>
          <w:numId w:val="17"/>
        </w:numPr>
      </w:pPr>
      <w:r w:rsidRPr="00D8608F">
        <w:t>Účel implementační</w:t>
      </w:r>
      <w:r w:rsidR="00B36829">
        <w:t>ch</w:t>
      </w:r>
      <w:r w:rsidRPr="00D8608F">
        <w:t xml:space="preserve"> plán</w:t>
      </w:r>
      <w:r w:rsidR="00B36829">
        <w:t>ů</w:t>
      </w:r>
    </w:p>
    <w:p w14:paraId="57D1A5CD" w14:textId="413F2AB2" w:rsidR="00A1316D" w:rsidRPr="00A1316D" w:rsidRDefault="00A1316D" w:rsidP="00A1316D">
      <w:pPr>
        <w:jc w:val="both"/>
      </w:pPr>
      <w:r w:rsidRPr="00A1316D">
        <w:t xml:space="preserve">Jednotlivé implementační plány (IP1–IP5) představují prováděcí dokumenty NSVO ke konkrétním strategickým </w:t>
      </w:r>
      <w:r w:rsidR="0028152F">
        <w:t xml:space="preserve">(a specifickým) </w:t>
      </w:r>
      <w:r w:rsidRPr="00A1316D">
        <w:t>cílům.</w:t>
      </w:r>
    </w:p>
    <w:p w14:paraId="20D27C0C" w14:textId="01D3C8C2" w:rsidR="00A1316D" w:rsidRPr="00A1316D" w:rsidRDefault="119381D0" w:rsidP="00A1316D">
      <w:pPr>
        <w:jc w:val="both"/>
      </w:pPr>
      <w:r>
        <w:t>Jejich účelem je rozpracovat jednotlivé navrhované opatření příslušného strategického cíle           a navazujícího specifického cíle do konkrétních aktivit a úkolů s jasně stanovenou odpovědností, časovým rámcem a vazbou na indikátory plnění.</w:t>
      </w:r>
    </w:p>
    <w:p w14:paraId="45ED9247" w14:textId="77777777" w:rsidR="00A1316D" w:rsidRPr="00A1316D" w:rsidRDefault="00A1316D" w:rsidP="00A1316D">
      <w:pPr>
        <w:jc w:val="both"/>
      </w:pPr>
      <w:r w:rsidRPr="00A1316D">
        <w:t xml:space="preserve">Každý implementační plán je zpracován jako samostatný dokument, jehož obsah je členěn do tří na sebe navazujících </w:t>
      </w:r>
      <w:r w:rsidRPr="00A1316D">
        <w:rPr>
          <w:b/>
          <w:bCs/>
        </w:rPr>
        <w:t>tříletých implementačních období</w:t>
      </w:r>
      <w:r w:rsidRPr="00A1316D">
        <w:t xml:space="preserve"> (2027–2029, 2030–2032, 2033–2035).</w:t>
      </w:r>
    </w:p>
    <w:p w14:paraId="4611974B" w14:textId="77777777" w:rsidR="00A1316D" w:rsidRPr="00A1316D" w:rsidRDefault="00A1316D" w:rsidP="00A1316D">
      <w:pPr>
        <w:jc w:val="both"/>
      </w:pPr>
      <w:r w:rsidRPr="00A1316D">
        <w:t>V jednotlivých obdobích se může měnit důraz na:</w:t>
      </w:r>
    </w:p>
    <w:p w14:paraId="2BE5E87F" w14:textId="0A08126C" w:rsidR="00A1316D" w:rsidRPr="00A1316D" w:rsidRDefault="00A1316D" w:rsidP="00CB25AE">
      <w:pPr>
        <w:pStyle w:val="Odstavecseseznamem"/>
        <w:numPr>
          <w:ilvl w:val="0"/>
          <w:numId w:val="16"/>
        </w:numPr>
        <w:jc w:val="both"/>
      </w:pPr>
      <w:r w:rsidRPr="00A1316D">
        <w:t>koncepční a přípravné aktivity</w:t>
      </w:r>
    </w:p>
    <w:p w14:paraId="2E151838" w14:textId="64361672" w:rsidR="00A1316D" w:rsidRPr="00A1316D" w:rsidRDefault="00A1316D" w:rsidP="00CB25AE">
      <w:pPr>
        <w:pStyle w:val="Odstavecseseznamem"/>
        <w:numPr>
          <w:ilvl w:val="0"/>
          <w:numId w:val="16"/>
        </w:numPr>
        <w:jc w:val="both"/>
      </w:pPr>
      <w:r w:rsidRPr="00A1316D">
        <w:t>plošnou realizaci a rozvoj zavedených mechanismů</w:t>
      </w:r>
    </w:p>
    <w:p w14:paraId="7A4EEC24" w14:textId="72B76823" w:rsidR="00A1316D" w:rsidRPr="00A1316D" w:rsidRDefault="00A1316D" w:rsidP="00CB25AE">
      <w:pPr>
        <w:pStyle w:val="Odstavecseseznamem"/>
        <w:numPr>
          <w:ilvl w:val="0"/>
          <w:numId w:val="16"/>
        </w:numPr>
        <w:jc w:val="both"/>
      </w:pPr>
      <w:r w:rsidRPr="00A1316D">
        <w:t>stabilizaci, vyhodnocení a dlouhodobou udržitelnost</w:t>
      </w:r>
    </w:p>
    <w:p w14:paraId="40C60C13" w14:textId="77F9CEA8" w:rsidR="00A1316D" w:rsidRPr="00A1316D" w:rsidRDefault="00A1316D" w:rsidP="00A1316D">
      <w:pPr>
        <w:jc w:val="both"/>
      </w:pPr>
    </w:p>
    <w:p w14:paraId="08CA1D6E" w14:textId="77777777" w:rsidR="00A1316D" w:rsidRPr="00A1316D" w:rsidRDefault="00A1316D" w:rsidP="00A1316D">
      <w:pPr>
        <w:jc w:val="both"/>
      </w:pPr>
      <w:r w:rsidRPr="00A1316D">
        <w:t>Implementační plány jsou koncipovány v souladu s metodickými principy tvorby implementačních plánů Strategického rámce rozvoje péče o zdraví v České republice do roku 2035 (Zdraví 2035).</w:t>
      </w:r>
    </w:p>
    <w:p w14:paraId="5D712666" w14:textId="77777777" w:rsidR="00A1316D" w:rsidRDefault="00A1316D" w:rsidP="00D8608F">
      <w:pPr>
        <w:jc w:val="both"/>
      </w:pPr>
    </w:p>
    <w:p w14:paraId="64AA6FD7" w14:textId="0BEB3E61" w:rsidR="0058182F" w:rsidRDefault="0094520E" w:rsidP="006A1B40">
      <w:pPr>
        <w:pStyle w:val="Nadpis2"/>
      </w:pPr>
      <w:r w:rsidRPr="00D8608F">
        <w:lastRenderedPageBreak/>
        <w:t>Vazba na Národní strategii pro vzácná onemocnění 2026–2035</w:t>
      </w:r>
    </w:p>
    <w:p w14:paraId="3F9401BD" w14:textId="69315EF5" w:rsidR="00EA3F0E" w:rsidRDefault="119381D0" w:rsidP="002949D9">
      <w:pPr>
        <w:jc w:val="both"/>
      </w:pPr>
      <w:r>
        <w:t>NSVO je strukturována do pěti strategických cílů, z nichž každý je dále rozpracován prostřednictvím samostatného implementačního plánu. Tento přístup umožňuje cílené, přehledné a řiditelné naplňování strategie a zároveň vytváří předpoklady pro průběžné hodnocení a aktualizaci jednotlivých tematických oblastí.</w:t>
      </w:r>
    </w:p>
    <w:p w14:paraId="7EB03086" w14:textId="044CDFD0" w:rsidR="00477899" w:rsidRDefault="0094520E" w:rsidP="0094520E">
      <w:pPr>
        <w:jc w:val="both"/>
      </w:pPr>
      <w:r>
        <w:t>NSVO</w:t>
      </w:r>
      <w:r w:rsidR="020760FA">
        <w:t xml:space="preserve"> </w:t>
      </w:r>
      <w:r>
        <w:t>je koncipována jako víceúrovňový strategický dokument, jehož struktura odpovídá standardům přípravy veřejných strategií v ČR. Strategie vychází z formulované vize, která vyjadřuje cílový stav systému péče o pacienty s</w:t>
      </w:r>
      <w:r w:rsidR="00316D85">
        <w:t> vzácným onemocněním (dál jen „</w:t>
      </w:r>
      <w:r>
        <w:t>VO</w:t>
      </w:r>
      <w:r w:rsidR="00316D85">
        <w:t>“)</w:t>
      </w:r>
      <w:r>
        <w:t xml:space="preserve">. Na tuto vizi navazují strategické cíle, které určují hlavní směry rozvoje péče </w:t>
      </w:r>
      <w:r w:rsidR="7000D327">
        <w:t xml:space="preserve">především </w:t>
      </w:r>
      <w:r>
        <w:t>napříč zdravotním a sociálním systémem. Strategické cíle jsou dále rozpracovány do specifických cílů, které konkretizují jednotlivé tematické oblasti. K jejich naplnění slouží opatření – konkrétní návrhy řešení</w:t>
      </w:r>
      <w:r w:rsidR="7E3D047D">
        <w:t xml:space="preserve"> a aktivit</w:t>
      </w:r>
      <w:r>
        <w:t>, které budou realizovány prostřednictvím samostatných implementačních plánů.</w:t>
      </w:r>
      <w:r w:rsidR="00477899" w:rsidRPr="6A427922">
        <w:rPr>
          <w:noProof/>
        </w:rPr>
        <w:t xml:space="preserve"> </w:t>
      </w:r>
    </w:p>
    <w:p w14:paraId="380265AE" w14:textId="2AB808BD" w:rsidR="00477899" w:rsidRDefault="00477899" w:rsidP="008E16C6">
      <w:pPr>
        <w:jc w:val="center"/>
      </w:pPr>
      <w:r>
        <w:rPr>
          <w:noProof/>
        </w:rPr>
        <w:drawing>
          <wp:inline distT="0" distB="0" distL="0" distR="0" wp14:anchorId="71340BA8" wp14:editId="6A69D8C5">
            <wp:extent cx="4134679" cy="2843367"/>
            <wp:effectExtent l="0" t="0" r="0" b="0"/>
            <wp:docPr id="1581631537"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66431" cy="2865203"/>
                    </a:xfrm>
                    <a:prstGeom prst="rect">
                      <a:avLst/>
                    </a:prstGeom>
                    <a:noFill/>
                  </pic:spPr>
                </pic:pic>
              </a:graphicData>
            </a:graphic>
          </wp:inline>
        </w:drawing>
      </w:r>
    </w:p>
    <w:p w14:paraId="30F48C6E" w14:textId="01FFA038" w:rsidR="008E16C6" w:rsidRDefault="008E16C6" w:rsidP="00D8608F">
      <w:pPr>
        <w:rPr>
          <w:sz w:val="20"/>
          <w:szCs w:val="20"/>
        </w:rPr>
      </w:pPr>
      <w:r w:rsidRPr="00663DF7">
        <w:rPr>
          <w:b/>
          <w:bCs/>
          <w:sz w:val="20"/>
          <w:szCs w:val="20"/>
        </w:rPr>
        <w:t xml:space="preserve">Obrázek </w:t>
      </w:r>
      <w:r w:rsidR="00D02E65">
        <w:rPr>
          <w:b/>
          <w:bCs/>
          <w:sz w:val="20"/>
          <w:szCs w:val="20"/>
        </w:rPr>
        <w:t>2</w:t>
      </w:r>
      <w:r w:rsidRPr="00663DF7">
        <w:rPr>
          <w:b/>
          <w:bCs/>
          <w:sz w:val="20"/>
          <w:szCs w:val="20"/>
        </w:rPr>
        <w:t>:</w:t>
      </w:r>
      <w:r w:rsidR="00663DF7" w:rsidRPr="00663DF7">
        <w:rPr>
          <w:b/>
          <w:bCs/>
          <w:sz w:val="20"/>
          <w:szCs w:val="20"/>
        </w:rPr>
        <w:t xml:space="preserve"> </w:t>
      </w:r>
      <w:r w:rsidR="00663DF7" w:rsidRPr="00663DF7">
        <w:rPr>
          <w:sz w:val="20"/>
          <w:szCs w:val="20"/>
        </w:rPr>
        <w:t>Logický str</w:t>
      </w:r>
      <w:r w:rsidR="00663DF7">
        <w:rPr>
          <w:sz w:val="20"/>
          <w:szCs w:val="20"/>
        </w:rPr>
        <w:t>a</w:t>
      </w:r>
      <w:r w:rsidR="00663DF7" w:rsidRPr="00663DF7">
        <w:rPr>
          <w:sz w:val="20"/>
          <w:szCs w:val="20"/>
        </w:rPr>
        <w:t>tegický rámec NSVO 2026–2035</w:t>
      </w:r>
    </w:p>
    <w:p w14:paraId="7F0CB7B9" w14:textId="38395E81" w:rsidR="00D8608F" w:rsidRPr="00D8608F" w:rsidRDefault="00D8608F" w:rsidP="00B17E1F">
      <w:pPr>
        <w:pStyle w:val="Nadpis2"/>
        <w:spacing w:before="240"/>
        <w:ind w:left="578" w:hanging="578"/>
      </w:pPr>
      <w:r w:rsidRPr="00D8608F">
        <w:t>Legislativní a strategický kontext</w:t>
      </w:r>
    </w:p>
    <w:p w14:paraId="25F136F5" w14:textId="13D6E340" w:rsidR="00D8608F" w:rsidRPr="00D8608F" w:rsidRDefault="2FA473A3" w:rsidP="00D8608F">
      <w:r>
        <w:t xml:space="preserve">Implementační </w:t>
      </w:r>
      <w:r w:rsidR="793B2752">
        <w:t xml:space="preserve">rámec a jednotlivé implementační plány </w:t>
      </w:r>
      <w:r>
        <w:t>j</w:t>
      </w:r>
      <w:r w:rsidR="793B2752">
        <w:t>sou</w:t>
      </w:r>
      <w:r>
        <w:t xml:space="preserve"> zpracován</w:t>
      </w:r>
      <w:r w:rsidR="793B2752">
        <w:t xml:space="preserve">y </w:t>
      </w:r>
      <w:r>
        <w:t xml:space="preserve">v souladu </w:t>
      </w:r>
      <w:r w:rsidR="0C19A6E1">
        <w:t xml:space="preserve">                                  </w:t>
      </w:r>
      <w:r>
        <w:t>s</w:t>
      </w:r>
      <w:r w:rsidR="70637160">
        <w:t xml:space="preserve"> </w:t>
      </w:r>
      <w:r>
        <w:t>následujícími dokumenty:</w:t>
      </w:r>
    </w:p>
    <w:p w14:paraId="31D62D7F" w14:textId="5E42B5DF" w:rsidR="00D8608F" w:rsidRPr="00D8608F" w:rsidRDefault="00D8608F" w:rsidP="00CB25AE">
      <w:pPr>
        <w:pStyle w:val="Odstavecseseznamem"/>
        <w:numPr>
          <w:ilvl w:val="0"/>
          <w:numId w:val="9"/>
        </w:numPr>
      </w:pPr>
      <w:r w:rsidRPr="00D8608F">
        <w:t>Národní strategie pro vzácná onemocnění 2026–2035</w:t>
      </w:r>
    </w:p>
    <w:p w14:paraId="009C2879" w14:textId="79372CB4" w:rsidR="00D8608F" w:rsidRPr="00D8608F" w:rsidRDefault="2FA473A3" w:rsidP="00CB25AE">
      <w:pPr>
        <w:pStyle w:val="Odstavecseseznamem"/>
        <w:numPr>
          <w:ilvl w:val="0"/>
          <w:numId w:val="9"/>
        </w:numPr>
      </w:pPr>
      <w:r>
        <w:t>Strategický rámec rozvoje péče o zdraví v České republice do roku 2035 (Zdraví2035)</w:t>
      </w:r>
    </w:p>
    <w:p w14:paraId="01C95A71" w14:textId="40481DE7" w:rsidR="00D8608F" w:rsidRDefault="00D8608F" w:rsidP="00CB25AE">
      <w:pPr>
        <w:pStyle w:val="Odstavecseseznamem"/>
        <w:numPr>
          <w:ilvl w:val="0"/>
          <w:numId w:val="9"/>
        </w:numPr>
      </w:pPr>
      <w:r w:rsidRPr="00D8608F">
        <w:t>Národní strategie elektronického zdravotnictví</w:t>
      </w:r>
    </w:p>
    <w:p w14:paraId="7DBB6D0E" w14:textId="3EAA3AA2" w:rsidR="008F4D6F" w:rsidRPr="00D8608F" w:rsidRDefault="008F4D6F" w:rsidP="00CB25AE">
      <w:pPr>
        <w:pStyle w:val="Odstavecseseznamem"/>
        <w:numPr>
          <w:ilvl w:val="0"/>
          <w:numId w:val="9"/>
        </w:numPr>
      </w:pPr>
      <w:r>
        <w:t>Koncepce zdravotnického výzkumu do roku 2030</w:t>
      </w:r>
    </w:p>
    <w:p w14:paraId="5C9583E9" w14:textId="148FBCA4" w:rsidR="000C1B04" w:rsidRDefault="00D8608F" w:rsidP="00CB25AE">
      <w:pPr>
        <w:pStyle w:val="Odstavecseseznamem"/>
        <w:numPr>
          <w:ilvl w:val="0"/>
          <w:numId w:val="9"/>
        </w:numPr>
      </w:pPr>
      <w:r w:rsidRPr="00D8608F">
        <w:t>relevantními evropskými rámci a iniciativami (např. Evropské referenční sítě – ERN, EU4Health)</w:t>
      </w:r>
      <w:r w:rsidR="008F4D6F">
        <w:t xml:space="preserve"> a dalšími </w:t>
      </w:r>
      <w:r w:rsidRPr="00D8608F">
        <w:t>souvisejícími národními strategickými dokumenty v oblasti zdravotní a sociální péče</w:t>
      </w:r>
      <w:r w:rsidR="0094520E">
        <w:t xml:space="preserve"> (viz. tabulka </w:t>
      </w:r>
      <w:r w:rsidR="008F4D6F">
        <w:t>1</w:t>
      </w:r>
      <w:r w:rsidR="0094520E">
        <w:t>)</w:t>
      </w:r>
    </w:p>
    <w:p w14:paraId="7A7F799C" w14:textId="1E6F831A" w:rsidR="00B17E1F" w:rsidRDefault="00F957C9" w:rsidP="008F4D6F">
      <w:pPr>
        <w:jc w:val="both"/>
        <w:sectPr w:rsidR="00B17E1F" w:rsidSect="00AF0805">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708" w:footer="708" w:gutter="0"/>
          <w:pgNumType w:start="0"/>
          <w:cols w:space="708"/>
          <w:titlePg/>
          <w:docGrid w:linePitch="360"/>
        </w:sectPr>
      </w:pPr>
      <w:r>
        <w:t>Jednotlivé i</w:t>
      </w:r>
      <w:r w:rsidR="000C1B04">
        <w:t>mplementační plán</w:t>
      </w:r>
      <w:r>
        <w:t>y</w:t>
      </w:r>
      <w:r w:rsidR="000C1B04">
        <w:t xml:space="preserve"> m</w:t>
      </w:r>
      <w:r>
        <w:t>ohou</w:t>
      </w:r>
      <w:r w:rsidR="000C1B04">
        <w:t xml:space="preserve"> být v průběhu své realizace doplňován</w:t>
      </w:r>
      <w:r>
        <w:t>y</w:t>
      </w:r>
      <w:r w:rsidR="000C1B04">
        <w:t xml:space="preserve"> o dílčí prováděcí dokumenty, metodiky nebo doporučení, které budou podporovat praktickou implementaci jednotlivých opatření</w:t>
      </w:r>
      <w:r w:rsidR="45F4376B">
        <w:t>.</w:t>
      </w:r>
    </w:p>
    <w:p w14:paraId="7B149DAC" w14:textId="5C8E8024" w:rsidR="000C1B04" w:rsidRDefault="000C1B04" w:rsidP="008F4D6F">
      <w:pPr>
        <w:spacing w:after="0" w:line="240" w:lineRule="auto"/>
      </w:pPr>
      <w:r w:rsidRPr="00F03ECB">
        <w:rPr>
          <w:b/>
          <w:bCs/>
        </w:rPr>
        <w:lastRenderedPageBreak/>
        <w:t>Tabulka 1</w:t>
      </w:r>
      <w:r>
        <w:t xml:space="preserve">: </w:t>
      </w:r>
      <w:r w:rsidR="008F4D6F">
        <w:t>Propojení IP</w:t>
      </w:r>
      <w:r w:rsidR="00B609AB">
        <w:t>1-</w:t>
      </w:r>
      <w:r w:rsidR="005A4F94">
        <w:t>IP5</w:t>
      </w:r>
      <w:r w:rsidR="008F4D6F">
        <w:t xml:space="preserve"> </w:t>
      </w:r>
      <w:r w:rsidR="008F4D6F" w:rsidRPr="00D8608F">
        <w:t xml:space="preserve">s </w:t>
      </w:r>
      <w:r w:rsidR="008F4D6F">
        <w:t xml:space="preserve">dalšími </w:t>
      </w:r>
      <w:r w:rsidR="008F4D6F" w:rsidRPr="00D8608F">
        <w:t>souvisejícími národními strategickými dokumenty</w:t>
      </w:r>
      <w:r w:rsidR="008F4D6F">
        <w:t>.</w:t>
      </w:r>
    </w:p>
    <w:tbl>
      <w:tblPr>
        <w:tblStyle w:val="Mkatabulky"/>
        <w:tblW w:w="14737" w:type="dxa"/>
        <w:tblLayout w:type="fixed"/>
        <w:tblLook w:val="04A0" w:firstRow="1" w:lastRow="0" w:firstColumn="1" w:lastColumn="0" w:noHBand="0" w:noVBand="1"/>
      </w:tblPr>
      <w:tblGrid>
        <w:gridCol w:w="3196"/>
        <w:gridCol w:w="559"/>
        <w:gridCol w:w="665"/>
        <w:gridCol w:w="1000"/>
        <w:gridCol w:w="1000"/>
        <w:gridCol w:w="1000"/>
        <w:gridCol w:w="1058"/>
        <w:gridCol w:w="1015"/>
        <w:gridCol w:w="1019"/>
        <w:gridCol w:w="1107"/>
        <w:gridCol w:w="1109"/>
        <w:gridCol w:w="1009"/>
        <w:gridCol w:w="1000"/>
      </w:tblGrid>
      <w:tr w:rsidR="00B17E1F" w:rsidRPr="0070654A" w14:paraId="2B70EC3A" w14:textId="77777777">
        <w:tc>
          <w:tcPr>
            <w:tcW w:w="3196" w:type="dxa"/>
            <w:shd w:val="clear" w:color="auto" w:fill="2F5496" w:themeFill="accent1" w:themeFillShade="BF"/>
            <w:vAlign w:val="center"/>
          </w:tcPr>
          <w:p w14:paraId="6F5D9127" w14:textId="77777777" w:rsidR="00B17E1F" w:rsidRPr="0070654A" w:rsidRDefault="00B17E1F">
            <w:pPr>
              <w:tabs>
                <w:tab w:val="left" w:pos="0"/>
                <w:tab w:val="left" w:pos="720"/>
              </w:tabs>
              <w:jc w:val="center"/>
              <w:rPr>
                <w:rFonts w:eastAsia="Aptos" w:cs="Aptos"/>
                <w:i/>
                <w:iCs/>
                <w:sz w:val="20"/>
                <w:szCs w:val="20"/>
              </w:rPr>
            </w:pPr>
            <w:r w:rsidRPr="00DF5D8F">
              <w:rPr>
                <w:rFonts w:eastAsia="Aptos" w:cs="Aptos"/>
                <w:b/>
                <w:bCs/>
                <w:color w:val="FFFFFF" w:themeColor="background1"/>
              </w:rPr>
              <w:t>Strategické cíle:</w:t>
            </w:r>
          </w:p>
        </w:tc>
        <w:tc>
          <w:tcPr>
            <w:tcW w:w="1224" w:type="dxa"/>
            <w:gridSpan w:val="2"/>
            <w:shd w:val="clear" w:color="auto" w:fill="2F5496" w:themeFill="accent1" w:themeFillShade="BF"/>
          </w:tcPr>
          <w:p w14:paraId="7396831F" w14:textId="77777777" w:rsidR="00B17E1F" w:rsidRPr="0070654A" w:rsidRDefault="00B17E1F">
            <w:pPr>
              <w:tabs>
                <w:tab w:val="left" w:pos="0"/>
                <w:tab w:val="left" w:pos="720"/>
              </w:tabs>
              <w:jc w:val="center"/>
              <w:rPr>
                <w:rFonts w:eastAsia="Aptos" w:cs="Aptos"/>
                <w:color w:val="FFFFFF" w:themeColor="background1"/>
                <w:sz w:val="18"/>
                <w:szCs w:val="18"/>
              </w:rPr>
            </w:pPr>
            <w:r w:rsidRPr="0070654A">
              <w:rPr>
                <w:rFonts w:eastAsia="Aptos" w:cs="Aptos"/>
                <w:b/>
                <w:bCs/>
                <w:color w:val="FFFFFF" w:themeColor="background1"/>
                <w:sz w:val="18"/>
                <w:szCs w:val="18"/>
              </w:rPr>
              <w:t>1</w:t>
            </w:r>
            <w:r>
              <w:rPr>
                <w:rFonts w:eastAsia="Aptos" w:cs="Aptos"/>
                <w:b/>
                <w:bCs/>
                <w:color w:val="FFFFFF" w:themeColor="background1"/>
                <w:sz w:val="18"/>
                <w:szCs w:val="18"/>
              </w:rPr>
              <w:t>.</w:t>
            </w:r>
            <w:r>
              <w:rPr>
                <w:rFonts w:eastAsia="Aptos" w:cs="Aptos"/>
                <w:color w:val="FFFFFF" w:themeColor="background1"/>
                <w:sz w:val="18"/>
                <w:szCs w:val="18"/>
              </w:rPr>
              <w:t xml:space="preserve"> </w:t>
            </w:r>
            <w:r w:rsidRPr="00DF5D8F">
              <w:rPr>
                <w:rFonts w:eastAsia="Aptos" w:cs="Aptos"/>
                <w:b/>
                <w:bCs/>
                <w:color w:val="FFFFFF" w:themeColor="background1"/>
                <w:sz w:val="18"/>
                <w:szCs w:val="18"/>
              </w:rPr>
              <w:t>Péče zaměřená na pacienta</w:t>
            </w:r>
            <w:r w:rsidRPr="0070654A">
              <w:rPr>
                <w:rFonts w:eastAsia="Aptos" w:cs="Aptos"/>
                <w:color w:val="FFFFFF" w:themeColor="background1"/>
                <w:sz w:val="18"/>
                <w:szCs w:val="18"/>
              </w:rPr>
              <w:t xml:space="preserve"> </w:t>
            </w:r>
          </w:p>
        </w:tc>
        <w:tc>
          <w:tcPr>
            <w:tcW w:w="2000" w:type="dxa"/>
            <w:gridSpan w:val="2"/>
            <w:shd w:val="clear" w:color="auto" w:fill="2F5496" w:themeFill="accent1" w:themeFillShade="BF"/>
          </w:tcPr>
          <w:p w14:paraId="70312323" w14:textId="77777777" w:rsidR="00B17E1F" w:rsidRPr="0070654A" w:rsidRDefault="00B17E1F">
            <w:pPr>
              <w:tabs>
                <w:tab w:val="left" w:pos="0"/>
                <w:tab w:val="left" w:pos="720"/>
              </w:tabs>
              <w:jc w:val="center"/>
              <w:rPr>
                <w:rFonts w:eastAsia="Aptos" w:cs="Aptos"/>
                <w:color w:val="FFFFFF" w:themeColor="background1"/>
                <w:sz w:val="18"/>
                <w:szCs w:val="18"/>
              </w:rPr>
            </w:pPr>
            <w:r w:rsidRPr="0070654A">
              <w:rPr>
                <w:rFonts w:eastAsia="Aptos" w:cs="Aptos"/>
                <w:b/>
                <w:bCs/>
                <w:color w:val="FFFFFF" w:themeColor="background1"/>
                <w:sz w:val="18"/>
                <w:szCs w:val="18"/>
              </w:rPr>
              <w:t xml:space="preserve"> 2</w:t>
            </w:r>
            <w:r>
              <w:rPr>
                <w:rFonts w:eastAsia="Aptos" w:cs="Aptos"/>
                <w:b/>
                <w:bCs/>
                <w:color w:val="FFFFFF" w:themeColor="background1"/>
                <w:sz w:val="18"/>
                <w:szCs w:val="18"/>
              </w:rPr>
              <w:t xml:space="preserve">. </w:t>
            </w:r>
            <w:r w:rsidRPr="00DF5D8F">
              <w:rPr>
                <w:rFonts w:eastAsia="Aptos" w:cs="Aptos"/>
                <w:b/>
                <w:bCs/>
                <w:color w:val="FFFFFF" w:themeColor="background1"/>
                <w:sz w:val="18"/>
                <w:szCs w:val="18"/>
              </w:rPr>
              <w:t>Zvýšení efektivity a kvality zdravotní péče</w:t>
            </w:r>
          </w:p>
        </w:tc>
        <w:tc>
          <w:tcPr>
            <w:tcW w:w="2058" w:type="dxa"/>
            <w:gridSpan w:val="2"/>
            <w:shd w:val="clear" w:color="auto" w:fill="2F5496" w:themeFill="accent1" w:themeFillShade="BF"/>
          </w:tcPr>
          <w:p w14:paraId="281DDEB1" w14:textId="77777777" w:rsidR="00B17E1F" w:rsidRPr="00DF5D8F" w:rsidRDefault="00B17E1F">
            <w:pPr>
              <w:tabs>
                <w:tab w:val="left" w:pos="0"/>
                <w:tab w:val="left" w:pos="720"/>
              </w:tabs>
              <w:jc w:val="center"/>
              <w:rPr>
                <w:rFonts w:eastAsia="Aptos" w:cs="Aptos"/>
                <w:b/>
                <w:bCs/>
                <w:color w:val="FFFFFF" w:themeColor="background1"/>
                <w:sz w:val="18"/>
                <w:szCs w:val="18"/>
              </w:rPr>
            </w:pPr>
            <w:r w:rsidRPr="00DF5D8F">
              <w:rPr>
                <w:rFonts w:eastAsia="Aptos" w:cs="Aptos"/>
                <w:b/>
                <w:bCs/>
                <w:color w:val="FFFFFF" w:themeColor="background1"/>
                <w:sz w:val="18"/>
                <w:szCs w:val="18"/>
              </w:rPr>
              <w:t>3. Upevnění role koordinace v systému péče</w:t>
            </w:r>
          </w:p>
        </w:tc>
        <w:tc>
          <w:tcPr>
            <w:tcW w:w="3141" w:type="dxa"/>
            <w:gridSpan w:val="3"/>
            <w:shd w:val="clear" w:color="auto" w:fill="2F5496" w:themeFill="accent1" w:themeFillShade="BF"/>
            <w:vAlign w:val="center"/>
          </w:tcPr>
          <w:p w14:paraId="1CF4F236" w14:textId="77777777" w:rsidR="00B17E1F" w:rsidRPr="0070654A" w:rsidRDefault="00B17E1F">
            <w:pPr>
              <w:tabs>
                <w:tab w:val="left" w:pos="0"/>
                <w:tab w:val="left" w:pos="720"/>
              </w:tabs>
              <w:jc w:val="center"/>
              <w:rPr>
                <w:rFonts w:eastAsia="Aptos" w:cs="Aptos"/>
                <w:color w:val="FFFFFF" w:themeColor="background1"/>
                <w:sz w:val="18"/>
                <w:szCs w:val="18"/>
              </w:rPr>
            </w:pPr>
            <w:r w:rsidRPr="0070654A">
              <w:rPr>
                <w:rFonts w:eastAsia="Aptos" w:cs="Aptos"/>
                <w:b/>
                <w:bCs/>
                <w:color w:val="FFFFFF" w:themeColor="background1"/>
                <w:sz w:val="18"/>
                <w:szCs w:val="18"/>
              </w:rPr>
              <w:t>4</w:t>
            </w:r>
            <w:r>
              <w:rPr>
                <w:rFonts w:eastAsia="Aptos" w:cs="Aptos"/>
                <w:b/>
                <w:bCs/>
                <w:color w:val="FFFFFF" w:themeColor="background1"/>
                <w:sz w:val="18"/>
                <w:szCs w:val="18"/>
              </w:rPr>
              <w:t xml:space="preserve">. </w:t>
            </w:r>
            <w:r w:rsidRPr="00DF5D8F">
              <w:rPr>
                <w:rFonts w:eastAsia="Aptos" w:cs="Aptos"/>
                <w:b/>
                <w:bCs/>
                <w:color w:val="FFFFFF" w:themeColor="background1"/>
                <w:sz w:val="18"/>
                <w:szCs w:val="18"/>
              </w:rPr>
              <w:t>Vzdělávání a osvěta v oblasti vzácných onemocnění</w:t>
            </w:r>
            <w:r w:rsidRPr="0070654A">
              <w:rPr>
                <w:rFonts w:eastAsia="Aptos" w:cs="Aptos"/>
                <w:color w:val="FFFFFF" w:themeColor="background1"/>
                <w:sz w:val="18"/>
                <w:szCs w:val="18"/>
              </w:rPr>
              <w:tab/>
            </w:r>
          </w:p>
        </w:tc>
        <w:tc>
          <w:tcPr>
            <w:tcW w:w="3118" w:type="dxa"/>
            <w:gridSpan w:val="3"/>
            <w:shd w:val="clear" w:color="auto" w:fill="2F5496" w:themeFill="accent1" w:themeFillShade="BF"/>
          </w:tcPr>
          <w:p w14:paraId="7BFCC726" w14:textId="77777777" w:rsidR="00B17E1F" w:rsidRPr="0070654A" w:rsidRDefault="00B17E1F">
            <w:pPr>
              <w:tabs>
                <w:tab w:val="left" w:pos="0"/>
                <w:tab w:val="left" w:pos="720"/>
              </w:tabs>
              <w:jc w:val="center"/>
              <w:rPr>
                <w:rFonts w:eastAsia="Aptos" w:cs="Aptos"/>
                <w:color w:val="FFFFFF" w:themeColor="background1"/>
                <w:sz w:val="18"/>
                <w:szCs w:val="18"/>
              </w:rPr>
            </w:pPr>
            <w:r w:rsidRPr="0070654A">
              <w:rPr>
                <w:rFonts w:eastAsia="Aptos" w:cs="Aptos"/>
                <w:b/>
                <w:bCs/>
                <w:color w:val="FFFFFF" w:themeColor="background1"/>
                <w:sz w:val="18"/>
                <w:szCs w:val="18"/>
              </w:rPr>
              <w:t>5</w:t>
            </w:r>
            <w:r w:rsidRPr="00DF5D8F">
              <w:rPr>
                <w:rFonts w:eastAsia="Aptos" w:cs="Aptos"/>
                <w:b/>
                <w:bCs/>
                <w:color w:val="FFFFFF" w:themeColor="background1"/>
                <w:sz w:val="18"/>
                <w:szCs w:val="18"/>
              </w:rPr>
              <w:t>. Dostupnost a využití dat o zdravotní péči v oblasti vzácných onemocnění</w:t>
            </w:r>
            <w:r w:rsidRPr="00DF5D8F">
              <w:rPr>
                <w:rFonts w:eastAsia="Aptos" w:cs="Aptos"/>
                <w:b/>
                <w:bCs/>
                <w:color w:val="FFFFFF" w:themeColor="background1"/>
                <w:sz w:val="18"/>
                <w:szCs w:val="18"/>
              </w:rPr>
              <w:tab/>
            </w:r>
          </w:p>
        </w:tc>
      </w:tr>
      <w:tr w:rsidR="00B17E1F" w:rsidRPr="0070654A" w14:paraId="7249F99A" w14:textId="77777777">
        <w:tc>
          <w:tcPr>
            <w:tcW w:w="3196" w:type="dxa"/>
            <w:shd w:val="clear" w:color="auto" w:fill="EAEDF1" w:themeFill="text2" w:themeFillTint="1A"/>
            <w:vAlign w:val="center"/>
          </w:tcPr>
          <w:p w14:paraId="26232472" w14:textId="77777777" w:rsidR="00B17E1F" w:rsidRPr="0070654A" w:rsidRDefault="00B17E1F">
            <w:pPr>
              <w:tabs>
                <w:tab w:val="left" w:pos="0"/>
                <w:tab w:val="left" w:pos="720"/>
              </w:tabs>
              <w:jc w:val="right"/>
              <w:rPr>
                <w:rFonts w:cs="Calibri"/>
                <w:sz w:val="20"/>
                <w:szCs w:val="20"/>
              </w:rPr>
            </w:pPr>
            <w:r>
              <w:rPr>
                <w:rFonts w:eastAsia="Aptos" w:cs="Aptos"/>
                <w:b/>
                <w:bCs/>
                <w:sz w:val="20"/>
                <w:szCs w:val="20"/>
              </w:rPr>
              <w:t>Specifické cíle:</w:t>
            </w:r>
          </w:p>
        </w:tc>
        <w:tc>
          <w:tcPr>
            <w:tcW w:w="559" w:type="dxa"/>
            <w:shd w:val="clear" w:color="auto" w:fill="EAEDF1" w:themeFill="text2" w:themeFillTint="1A"/>
            <w:vAlign w:val="center"/>
          </w:tcPr>
          <w:p w14:paraId="2D39E5CF"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1.1</w:t>
            </w:r>
          </w:p>
        </w:tc>
        <w:tc>
          <w:tcPr>
            <w:tcW w:w="665" w:type="dxa"/>
            <w:shd w:val="clear" w:color="auto" w:fill="EAEDF1" w:themeFill="text2" w:themeFillTint="1A"/>
            <w:vAlign w:val="center"/>
          </w:tcPr>
          <w:p w14:paraId="2131F91D"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1.2</w:t>
            </w:r>
          </w:p>
        </w:tc>
        <w:tc>
          <w:tcPr>
            <w:tcW w:w="1000" w:type="dxa"/>
            <w:shd w:val="clear" w:color="auto" w:fill="EAEDF1" w:themeFill="text2" w:themeFillTint="1A"/>
            <w:vAlign w:val="center"/>
          </w:tcPr>
          <w:p w14:paraId="152E88E2"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2.1</w:t>
            </w:r>
          </w:p>
        </w:tc>
        <w:tc>
          <w:tcPr>
            <w:tcW w:w="1000" w:type="dxa"/>
            <w:shd w:val="clear" w:color="auto" w:fill="EAEDF1" w:themeFill="text2" w:themeFillTint="1A"/>
            <w:vAlign w:val="center"/>
          </w:tcPr>
          <w:p w14:paraId="3545F42F"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2.2</w:t>
            </w:r>
          </w:p>
        </w:tc>
        <w:tc>
          <w:tcPr>
            <w:tcW w:w="1000" w:type="dxa"/>
            <w:shd w:val="clear" w:color="auto" w:fill="EAEDF1" w:themeFill="text2" w:themeFillTint="1A"/>
            <w:vAlign w:val="center"/>
          </w:tcPr>
          <w:p w14:paraId="57B57DBF"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3.1</w:t>
            </w:r>
          </w:p>
        </w:tc>
        <w:tc>
          <w:tcPr>
            <w:tcW w:w="1058" w:type="dxa"/>
            <w:shd w:val="clear" w:color="auto" w:fill="EAEDF1" w:themeFill="text2" w:themeFillTint="1A"/>
            <w:vAlign w:val="center"/>
          </w:tcPr>
          <w:p w14:paraId="68A5FDF2"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3.2</w:t>
            </w:r>
          </w:p>
        </w:tc>
        <w:tc>
          <w:tcPr>
            <w:tcW w:w="1015" w:type="dxa"/>
            <w:shd w:val="clear" w:color="auto" w:fill="EAEDF1" w:themeFill="text2" w:themeFillTint="1A"/>
            <w:vAlign w:val="center"/>
          </w:tcPr>
          <w:p w14:paraId="430C2CE4"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4.1</w:t>
            </w:r>
          </w:p>
        </w:tc>
        <w:tc>
          <w:tcPr>
            <w:tcW w:w="1019" w:type="dxa"/>
            <w:shd w:val="clear" w:color="auto" w:fill="EAEDF1" w:themeFill="text2" w:themeFillTint="1A"/>
            <w:vAlign w:val="center"/>
          </w:tcPr>
          <w:p w14:paraId="452309F5"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4.2</w:t>
            </w:r>
          </w:p>
        </w:tc>
        <w:tc>
          <w:tcPr>
            <w:tcW w:w="1107" w:type="dxa"/>
            <w:shd w:val="clear" w:color="auto" w:fill="EAEDF1" w:themeFill="text2" w:themeFillTint="1A"/>
            <w:vAlign w:val="center"/>
          </w:tcPr>
          <w:p w14:paraId="6C41E1C1"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4.3</w:t>
            </w:r>
          </w:p>
        </w:tc>
        <w:tc>
          <w:tcPr>
            <w:tcW w:w="1109" w:type="dxa"/>
            <w:shd w:val="clear" w:color="auto" w:fill="EAEDF1" w:themeFill="text2" w:themeFillTint="1A"/>
            <w:vAlign w:val="center"/>
          </w:tcPr>
          <w:p w14:paraId="367E9C94"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5.1</w:t>
            </w:r>
          </w:p>
        </w:tc>
        <w:tc>
          <w:tcPr>
            <w:tcW w:w="1009" w:type="dxa"/>
            <w:shd w:val="clear" w:color="auto" w:fill="EAEDF1" w:themeFill="text2" w:themeFillTint="1A"/>
            <w:vAlign w:val="center"/>
          </w:tcPr>
          <w:p w14:paraId="3249B029"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5.2</w:t>
            </w:r>
          </w:p>
        </w:tc>
        <w:tc>
          <w:tcPr>
            <w:tcW w:w="1000" w:type="dxa"/>
            <w:shd w:val="clear" w:color="auto" w:fill="EAEDF1" w:themeFill="text2" w:themeFillTint="1A"/>
            <w:vAlign w:val="center"/>
          </w:tcPr>
          <w:p w14:paraId="4FF7D8EE" w14:textId="77777777" w:rsidR="00B17E1F" w:rsidRPr="0070654A" w:rsidRDefault="00B17E1F">
            <w:pPr>
              <w:tabs>
                <w:tab w:val="left" w:pos="0"/>
                <w:tab w:val="left" w:pos="720"/>
              </w:tabs>
              <w:jc w:val="center"/>
              <w:rPr>
                <w:rFonts w:eastAsia="Aptos" w:cs="Aptos"/>
                <w:i/>
                <w:iCs/>
                <w:sz w:val="18"/>
                <w:szCs w:val="18"/>
              </w:rPr>
            </w:pPr>
            <w:r w:rsidRPr="0070654A">
              <w:rPr>
                <w:rFonts w:cs="Calibri"/>
                <w:b/>
                <w:bCs/>
                <w:sz w:val="18"/>
                <w:szCs w:val="18"/>
              </w:rPr>
              <w:t>5.3</w:t>
            </w:r>
          </w:p>
        </w:tc>
      </w:tr>
      <w:tr w:rsidR="00B17E1F" w:rsidRPr="0070654A" w14:paraId="78D3A44E" w14:textId="77777777">
        <w:tc>
          <w:tcPr>
            <w:tcW w:w="3196" w:type="dxa"/>
            <w:shd w:val="clear" w:color="auto" w:fill="EAEDF1" w:themeFill="text2" w:themeFillTint="1A"/>
            <w:vAlign w:val="center"/>
          </w:tcPr>
          <w:p w14:paraId="1AF96C4E" w14:textId="77777777" w:rsidR="00B17E1F" w:rsidRPr="00782133" w:rsidRDefault="00B17E1F">
            <w:pPr>
              <w:tabs>
                <w:tab w:val="left" w:pos="0"/>
                <w:tab w:val="left" w:pos="720"/>
              </w:tabs>
              <w:rPr>
                <w:rFonts w:eastAsia="Aptos" w:cs="Aptos"/>
                <w:i/>
                <w:iCs/>
                <w:sz w:val="20"/>
                <w:szCs w:val="20"/>
              </w:rPr>
            </w:pPr>
            <w:r w:rsidRPr="00782133">
              <w:rPr>
                <w:rFonts w:cs="Calibri"/>
                <w:sz w:val="20"/>
                <w:szCs w:val="20"/>
              </w:rPr>
              <w:t>Strategický rámec rozvoje péče o zdraví v ČR do roku 2035</w:t>
            </w:r>
          </w:p>
        </w:tc>
        <w:tc>
          <w:tcPr>
            <w:tcW w:w="559" w:type="dxa"/>
            <w:vAlign w:val="center"/>
          </w:tcPr>
          <w:p w14:paraId="6DBC9A6A"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665" w:type="dxa"/>
            <w:vAlign w:val="center"/>
          </w:tcPr>
          <w:p w14:paraId="777CC98B"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094CCF36"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62B60BE1"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7CF29897"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58" w:type="dxa"/>
            <w:vAlign w:val="center"/>
          </w:tcPr>
          <w:p w14:paraId="01D4E19B"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15" w:type="dxa"/>
            <w:vAlign w:val="center"/>
          </w:tcPr>
          <w:p w14:paraId="5EDF9774"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19" w:type="dxa"/>
            <w:vAlign w:val="center"/>
          </w:tcPr>
          <w:p w14:paraId="42C2140F"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107" w:type="dxa"/>
            <w:vAlign w:val="center"/>
          </w:tcPr>
          <w:p w14:paraId="2A8868E7"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Částečně</w:t>
            </w:r>
            <w:r w:rsidRPr="0070654A">
              <w:rPr>
                <w:rStyle w:val="eop"/>
                <w:rFonts w:cs="Calibri"/>
                <w:sz w:val="18"/>
                <w:szCs w:val="18"/>
              </w:rPr>
              <w:t> </w:t>
            </w:r>
          </w:p>
        </w:tc>
        <w:tc>
          <w:tcPr>
            <w:tcW w:w="1109" w:type="dxa"/>
            <w:vAlign w:val="center"/>
          </w:tcPr>
          <w:p w14:paraId="4E2D3D82"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Částečn</w:t>
            </w:r>
            <w:r>
              <w:rPr>
                <w:rStyle w:val="normaltextrun"/>
                <w:rFonts w:cs="Calibri"/>
                <w:sz w:val="18"/>
                <w:szCs w:val="18"/>
              </w:rPr>
              <w:t>ě</w:t>
            </w:r>
            <w:r w:rsidRPr="0070654A">
              <w:rPr>
                <w:rStyle w:val="eop"/>
                <w:rFonts w:cs="Calibri"/>
                <w:sz w:val="18"/>
                <w:szCs w:val="18"/>
              </w:rPr>
              <w:t> </w:t>
            </w:r>
          </w:p>
        </w:tc>
        <w:tc>
          <w:tcPr>
            <w:tcW w:w="1009" w:type="dxa"/>
            <w:vAlign w:val="center"/>
          </w:tcPr>
          <w:p w14:paraId="389D8B07"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0EEB6D7A"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r>
      <w:tr w:rsidR="00B17E1F" w:rsidRPr="0070654A" w14:paraId="050B57B2" w14:textId="77777777">
        <w:tc>
          <w:tcPr>
            <w:tcW w:w="3196" w:type="dxa"/>
            <w:shd w:val="clear" w:color="auto" w:fill="EAEDF1" w:themeFill="text2" w:themeFillTint="1A"/>
            <w:vAlign w:val="center"/>
          </w:tcPr>
          <w:p w14:paraId="6A532D02" w14:textId="77777777" w:rsidR="00B17E1F" w:rsidRPr="00782133" w:rsidRDefault="00B17E1F">
            <w:pPr>
              <w:tabs>
                <w:tab w:val="left" w:pos="0"/>
                <w:tab w:val="left" w:pos="720"/>
              </w:tabs>
              <w:rPr>
                <w:rFonts w:eastAsia="Aptos" w:cs="Aptos"/>
                <w:i/>
                <w:iCs/>
                <w:sz w:val="20"/>
                <w:szCs w:val="20"/>
              </w:rPr>
            </w:pPr>
            <w:r w:rsidRPr="00782133">
              <w:rPr>
                <w:rFonts w:cs="Calibri"/>
                <w:sz w:val="20"/>
                <w:szCs w:val="20"/>
              </w:rPr>
              <w:t>Koncepce zdravotnického výzkumu do roku 2030</w:t>
            </w:r>
          </w:p>
        </w:tc>
        <w:tc>
          <w:tcPr>
            <w:tcW w:w="559" w:type="dxa"/>
            <w:vAlign w:val="center"/>
          </w:tcPr>
          <w:p w14:paraId="13F29C7E"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665" w:type="dxa"/>
            <w:vAlign w:val="center"/>
          </w:tcPr>
          <w:p w14:paraId="5D6A3D6D"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4FC36C84"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1726EFB4"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4BC68782"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58" w:type="dxa"/>
            <w:vAlign w:val="center"/>
          </w:tcPr>
          <w:p w14:paraId="1A496C22"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15" w:type="dxa"/>
            <w:vAlign w:val="center"/>
          </w:tcPr>
          <w:p w14:paraId="0DC60908"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19" w:type="dxa"/>
            <w:vAlign w:val="center"/>
          </w:tcPr>
          <w:p w14:paraId="01551F9F"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107" w:type="dxa"/>
            <w:vAlign w:val="center"/>
          </w:tcPr>
          <w:p w14:paraId="39AAD494"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69AA05FC"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3AB48025"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39A4DEFD"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r>
      <w:tr w:rsidR="00B17E1F" w:rsidRPr="0070654A" w14:paraId="213B5C74" w14:textId="77777777">
        <w:tc>
          <w:tcPr>
            <w:tcW w:w="3196" w:type="dxa"/>
            <w:shd w:val="clear" w:color="auto" w:fill="EAEDF1" w:themeFill="text2" w:themeFillTint="1A"/>
            <w:vAlign w:val="center"/>
          </w:tcPr>
          <w:p w14:paraId="1F2FFB97" w14:textId="77777777" w:rsidR="00B17E1F" w:rsidRPr="00782133" w:rsidRDefault="00B17E1F">
            <w:pPr>
              <w:tabs>
                <w:tab w:val="left" w:pos="0"/>
                <w:tab w:val="left" w:pos="720"/>
              </w:tabs>
              <w:rPr>
                <w:rFonts w:eastAsia="Aptos" w:cs="Aptos"/>
                <w:i/>
                <w:iCs/>
                <w:sz w:val="20"/>
                <w:szCs w:val="20"/>
              </w:rPr>
            </w:pPr>
            <w:r w:rsidRPr="00782133">
              <w:rPr>
                <w:rFonts w:cs="Calibri"/>
                <w:sz w:val="20"/>
                <w:szCs w:val="20"/>
              </w:rPr>
              <w:t>Analýza sociálních a zdravotních služeb dlouhodobé péče v ČR</w:t>
            </w:r>
          </w:p>
        </w:tc>
        <w:tc>
          <w:tcPr>
            <w:tcW w:w="559" w:type="dxa"/>
            <w:vAlign w:val="center"/>
          </w:tcPr>
          <w:p w14:paraId="0ED3A4FA"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665" w:type="dxa"/>
            <w:vAlign w:val="center"/>
          </w:tcPr>
          <w:p w14:paraId="686CCB7B"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30C72485"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Částečně</w:t>
            </w:r>
            <w:r w:rsidRPr="0070654A">
              <w:rPr>
                <w:rStyle w:val="eop"/>
                <w:rFonts w:cs="Calibri"/>
                <w:sz w:val="18"/>
                <w:szCs w:val="18"/>
              </w:rPr>
              <w:t> </w:t>
            </w:r>
          </w:p>
        </w:tc>
        <w:tc>
          <w:tcPr>
            <w:tcW w:w="1000" w:type="dxa"/>
            <w:vAlign w:val="center"/>
          </w:tcPr>
          <w:p w14:paraId="62D0DF4D"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Částečně</w:t>
            </w:r>
            <w:r w:rsidRPr="0070654A">
              <w:rPr>
                <w:rStyle w:val="eop"/>
                <w:rFonts w:cs="Calibri"/>
                <w:sz w:val="18"/>
                <w:szCs w:val="18"/>
              </w:rPr>
              <w:t> </w:t>
            </w:r>
          </w:p>
        </w:tc>
        <w:tc>
          <w:tcPr>
            <w:tcW w:w="1000" w:type="dxa"/>
            <w:vAlign w:val="center"/>
          </w:tcPr>
          <w:p w14:paraId="021376C7"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58" w:type="dxa"/>
            <w:vAlign w:val="center"/>
          </w:tcPr>
          <w:p w14:paraId="3FC04FB0"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15" w:type="dxa"/>
            <w:vAlign w:val="center"/>
          </w:tcPr>
          <w:p w14:paraId="4FBDF0E6"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19" w:type="dxa"/>
            <w:vAlign w:val="center"/>
          </w:tcPr>
          <w:p w14:paraId="44CF8FDB"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107" w:type="dxa"/>
            <w:vAlign w:val="center"/>
          </w:tcPr>
          <w:p w14:paraId="69CE9867"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35B98B13"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2A1921B5"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212EF360"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r>
      <w:tr w:rsidR="00B17E1F" w:rsidRPr="0070654A" w14:paraId="056EC86B" w14:textId="77777777">
        <w:tc>
          <w:tcPr>
            <w:tcW w:w="3196" w:type="dxa"/>
            <w:shd w:val="clear" w:color="auto" w:fill="EAEDF1" w:themeFill="text2" w:themeFillTint="1A"/>
            <w:vAlign w:val="center"/>
          </w:tcPr>
          <w:p w14:paraId="7D5698EA" w14:textId="77777777" w:rsidR="00B17E1F" w:rsidRPr="00782133" w:rsidRDefault="00B17E1F">
            <w:pPr>
              <w:tabs>
                <w:tab w:val="left" w:pos="0"/>
                <w:tab w:val="left" w:pos="720"/>
              </w:tabs>
              <w:rPr>
                <w:rFonts w:eastAsia="Aptos" w:cs="Aptos"/>
                <w:i/>
                <w:iCs/>
                <w:sz w:val="20"/>
                <w:szCs w:val="20"/>
              </w:rPr>
            </w:pPr>
            <w:r w:rsidRPr="00782133">
              <w:rPr>
                <w:rFonts w:cs="Calibri"/>
                <w:sz w:val="20"/>
                <w:szCs w:val="20"/>
              </w:rPr>
              <w:t>Program na podporu zdravotnického aplikovaného výzkumu 2020–2026</w:t>
            </w:r>
          </w:p>
        </w:tc>
        <w:tc>
          <w:tcPr>
            <w:tcW w:w="559" w:type="dxa"/>
            <w:vAlign w:val="center"/>
          </w:tcPr>
          <w:p w14:paraId="7E3553D9"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665" w:type="dxa"/>
            <w:vAlign w:val="center"/>
          </w:tcPr>
          <w:p w14:paraId="5EDE9C00"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1D1382B2"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1089A036"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0AD3FE47"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58" w:type="dxa"/>
            <w:vAlign w:val="center"/>
          </w:tcPr>
          <w:p w14:paraId="01CEA84A"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15" w:type="dxa"/>
            <w:vAlign w:val="center"/>
          </w:tcPr>
          <w:p w14:paraId="701ABEBA"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19" w:type="dxa"/>
            <w:vAlign w:val="center"/>
          </w:tcPr>
          <w:p w14:paraId="4D13C6FB"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107" w:type="dxa"/>
            <w:vAlign w:val="center"/>
          </w:tcPr>
          <w:p w14:paraId="0AC55AD6"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503A7A70"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6E780B74"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0E5C4925"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r>
      <w:tr w:rsidR="00B17E1F" w:rsidRPr="0070654A" w14:paraId="7E00B690" w14:textId="77777777">
        <w:tc>
          <w:tcPr>
            <w:tcW w:w="3196" w:type="dxa"/>
            <w:shd w:val="clear" w:color="auto" w:fill="EAEDF1" w:themeFill="text2" w:themeFillTint="1A"/>
            <w:vAlign w:val="center"/>
          </w:tcPr>
          <w:p w14:paraId="060B584A" w14:textId="77777777" w:rsidR="00B17E1F" w:rsidRPr="00782133" w:rsidRDefault="00B17E1F">
            <w:pPr>
              <w:tabs>
                <w:tab w:val="left" w:pos="0"/>
                <w:tab w:val="left" w:pos="720"/>
              </w:tabs>
              <w:rPr>
                <w:rFonts w:eastAsia="Aptos" w:cs="Aptos"/>
                <w:i/>
                <w:iCs/>
                <w:sz w:val="20"/>
                <w:szCs w:val="20"/>
              </w:rPr>
            </w:pPr>
            <w:r w:rsidRPr="00782133">
              <w:rPr>
                <w:rFonts w:cs="Calibri"/>
                <w:sz w:val="20"/>
                <w:szCs w:val="20"/>
              </w:rPr>
              <w:t>Koncepce ošetřovatelství</w:t>
            </w:r>
          </w:p>
        </w:tc>
        <w:tc>
          <w:tcPr>
            <w:tcW w:w="559" w:type="dxa"/>
            <w:vAlign w:val="center"/>
          </w:tcPr>
          <w:p w14:paraId="7C46B0D2"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665" w:type="dxa"/>
            <w:vAlign w:val="center"/>
          </w:tcPr>
          <w:p w14:paraId="3EFA735B"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292848B2"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097997F4"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18C72377"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Částečně</w:t>
            </w:r>
            <w:r w:rsidRPr="0070654A">
              <w:rPr>
                <w:rStyle w:val="eop"/>
                <w:rFonts w:cs="Calibri"/>
                <w:sz w:val="18"/>
                <w:szCs w:val="18"/>
              </w:rPr>
              <w:t> </w:t>
            </w:r>
          </w:p>
        </w:tc>
        <w:tc>
          <w:tcPr>
            <w:tcW w:w="1058" w:type="dxa"/>
            <w:vAlign w:val="center"/>
          </w:tcPr>
          <w:p w14:paraId="2AA84C12"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Částečně</w:t>
            </w:r>
            <w:r w:rsidRPr="0070654A">
              <w:rPr>
                <w:rStyle w:val="eop"/>
                <w:rFonts w:cs="Calibri"/>
                <w:sz w:val="18"/>
                <w:szCs w:val="18"/>
              </w:rPr>
              <w:t> </w:t>
            </w:r>
          </w:p>
        </w:tc>
        <w:tc>
          <w:tcPr>
            <w:tcW w:w="1015" w:type="dxa"/>
            <w:vAlign w:val="center"/>
          </w:tcPr>
          <w:p w14:paraId="157B1F17"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19" w:type="dxa"/>
            <w:vAlign w:val="center"/>
          </w:tcPr>
          <w:p w14:paraId="2F6472F3"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Částečně</w:t>
            </w:r>
            <w:r w:rsidRPr="0070654A">
              <w:rPr>
                <w:rStyle w:val="eop"/>
                <w:rFonts w:cs="Calibri"/>
                <w:sz w:val="18"/>
                <w:szCs w:val="18"/>
              </w:rPr>
              <w:t> </w:t>
            </w:r>
          </w:p>
        </w:tc>
        <w:tc>
          <w:tcPr>
            <w:tcW w:w="1107" w:type="dxa"/>
            <w:vAlign w:val="center"/>
          </w:tcPr>
          <w:p w14:paraId="3B9A9398"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341CF45A"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55D6FB22"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336D2A68"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r>
      <w:tr w:rsidR="00B17E1F" w:rsidRPr="0070654A" w14:paraId="5E80E452" w14:textId="77777777">
        <w:tc>
          <w:tcPr>
            <w:tcW w:w="3196" w:type="dxa"/>
            <w:shd w:val="clear" w:color="auto" w:fill="EAEDF1" w:themeFill="text2" w:themeFillTint="1A"/>
            <w:vAlign w:val="center"/>
          </w:tcPr>
          <w:p w14:paraId="7C68A9E5" w14:textId="77777777" w:rsidR="00B17E1F" w:rsidRPr="00782133" w:rsidRDefault="00B17E1F">
            <w:pPr>
              <w:tabs>
                <w:tab w:val="left" w:pos="0"/>
                <w:tab w:val="left" w:pos="720"/>
              </w:tabs>
              <w:rPr>
                <w:rFonts w:eastAsia="Aptos" w:cs="Aptos"/>
                <w:i/>
                <w:iCs/>
                <w:sz w:val="20"/>
                <w:szCs w:val="20"/>
              </w:rPr>
            </w:pPr>
            <w:r w:rsidRPr="00782133">
              <w:rPr>
                <w:rFonts w:cs="Calibri"/>
                <w:sz w:val="20"/>
                <w:szCs w:val="20"/>
              </w:rPr>
              <w:t>Koncepce domácí péče v</w:t>
            </w:r>
            <w:r w:rsidRPr="00782133">
              <w:rPr>
                <w:rFonts w:ascii="Arial" w:hAnsi="Arial" w:cs="Arial"/>
                <w:sz w:val="20"/>
                <w:szCs w:val="20"/>
              </w:rPr>
              <w:t> </w:t>
            </w:r>
            <w:r w:rsidRPr="00782133">
              <w:rPr>
                <w:rFonts w:cs="Aptos"/>
                <w:sz w:val="20"/>
                <w:szCs w:val="20"/>
              </w:rPr>
              <w:t>Č</w:t>
            </w:r>
            <w:r w:rsidRPr="00782133">
              <w:rPr>
                <w:rFonts w:cs="Calibri"/>
                <w:sz w:val="20"/>
                <w:szCs w:val="20"/>
              </w:rPr>
              <w:t xml:space="preserve">R </w:t>
            </w:r>
            <w:r w:rsidRPr="00782133">
              <w:rPr>
                <w:rFonts w:cs="Calibri"/>
                <w:sz w:val="20"/>
                <w:szCs w:val="20"/>
              </w:rPr>
              <w:br/>
              <w:t>(Ak</w:t>
            </w:r>
            <w:r w:rsidRPr="00782133">
              <w:rPr>
                <w:rFonts w:cs="Aptos"/>
                <w:sz w:val="20"/>
                <w:szCs w:val="20"/>
              </w:rPr>
              <w:t>č</w:t>
            </w:r>
            <w:r w:rsidRPr="00782133">
              <w:rPr>
                <w:rFonts w:cs="Calibri"/>
                <w:sz w:val="20"/>
                <w:szCs w:val="20"/>
              </w:rPr>
              <w:t>n</w:t>
            </w:r>
            <w:r w:rsidRPr="00782133">
              <w:rPr>
                <w:rFonts w:cs="Aptos"/>
                <w:sz w:val="20"/>
                <w:szCs w:val="20"/>
              </w:rPr>
              <w:t>í</w:t>
            </w:r>
            <w:r w:rsidRPr="00782133">
              <w:rPr>
                <w:rFonts w:cs="Calibri"/>
                <w:sz w:val="20"/>
                <w:szCs w:val="20"/>
              </w:rPr>
              <w:t xml:space="preserve"> pl</w:t>
            </w:r>
            <w:r w:rsidRPr="00782133">
              <w:rPr>
                <w:rFonts w:cs="Aptos"/>
                <w:sz w:val="20"/>
                <w:szCs w:val="20"/>
              </w:rPr>
              <w:t>á</w:t>
            </w:r>
            <w:r w:rsidRPr="00782133">
              <w:rPr>
                <w:rFonts w:cs="Calibri"/>
                <w:sz w:val="20"/>
                <w:szCs w:val="20"/>
              </w:rPr>
              <w:t>n 2025-2035) </w:t>
            </w:r>
          </w:p>
        </w:tc>
        <w:tc>
          <w:tcPr>
            <w:tcW w:w="559" w:type="dxa"/>
            <w:vAlign w:val="center"/>
          </w:tcPr>
          <w:p w14:paraId="564AB27F"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665" w:type="dxa"/>
            <w:vAlign w:val="center"/>
          </w:tcPr>
          <w:p w14:paraId="0AAE992B"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6736B0BB"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Částečně</w:t>
            </w:r>
            <w:r w:rsidRPr="0070654A">
              <w:rPr>
                <w:rStyle w:val="eop"/>
                <w:rFonts w:cs="Calibri"/>
                <w:sz w:val="18"/>
                <w:szCs w:val="18"/>
              </w:rPr>
              <w:t> </w:t>
            </w:r>
          </w:p>
        </w:tc>
        <w:tc>
          <w:tcPr>
            <w:tcW w:w="1000" w:type="dxa"/>
            <w:vAlign w:val="center"/>
          </w:tcPr>
          <w:p w14:paraId="3826D2EC"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Částečně</w:t>
            </w:r>
            <w:r w:rsidRPr="0070654A">
              <w:rPr>
                <w:rStyle w:val="eop"/>
                <w:rFonts w:cs="Calibri"/>
                <w:sz w:val="18"/>
                <w:szCs w:val="18"/>
              </w:rPr>
              <w:t> </w:t>
            </w:r>
          </w:p>
        </w:tc>
        <w:tc>
          <w:tcPr>
            <w:tcW w:w="1000" w:type="dxa"/>
            <w:vAlign w:val="center"/>
          </w:tcPr>
          <w:p w14:paraId="44766B2B"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58" w:type="dxa"/>
            <w:vAlign w:val="center"/>
          </w:tcPr>
          <w:p w14:paraId="0DFA3CBF"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15" w:type="dxa"/>
            <w:vAlign w:val="center"/>
          </w:tcPr>
          <w:p w14:paraId="53F922FC"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Částečně</w:t>
            </w:r>
            <w:r w:rsidRPr="0070654A">
              <w:rPr>
                <w:rStyle w:val="eop"/>
                <w:rFonts w:cs="Calibri"/>
                <w:sz w:val="18"/>
                <w:szCs w:val="18"/>
              </w:rPr>
              <w:t> </w:t>
            </w:r>
          </w:p>
        </w:tc>
        <w:tc>
          <w:tcPr>
            <w:tcW w:w="1019" w:type="dxa"/>
            <w:vAlign w:val="center"/>
          </w:tcPr>
          <w:p w14:paraId="17BFEED9"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107" w:type="dxa"/>
            <w:vAlign w:val="center"/>
          </w:tcPr>
          <w:p w14:paraId="393AB161"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1BB3B912"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58CFB16B"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32D63375"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r>
      <w:tr w:rsidR="00B17E1F" w:rsidRPr="0070654A" w14:paraId="5E89AC81" w14:textId="77777777">
        <w:tc>
          <w:tcPr>
            <w:tcW w:w="3196" w:type="dxa"/>
            <w:shd w:val="clear" w:color="auto" w:fill="EAEDF1" w:themeFill="text2" w:themeFillTint="1A"/>
            <w:vAlign w:val="center"/>
          </w:tcPr>
          <w:p w14:paraId="11C40F4F" w14:textId="77777777" w:rsidR="00B17E1F" w:rsidRPr="00782133" w:rsidRDefault="00B17E1F">
            <w:pPr>
              <w:tabs>
                <w:tab w:val="left" w:pos="0"/>
                <w:tab w:val="left" w:pos="720"/>
              </w:tabs>
              <w:rPr>
                <w:rFonts w:cs="Calibri"/>
                <w:sz w:val="20"/>
                <w:szCs w:val="20"/>
              </w:rPr>
            </w:pPr>
            <w:r w:rsidRPr="00782133">
              <w:rPr>
                <w:rStyle w:val="normaltextrun"/>
                <w:rFonts w:cs="Calibri"/>
                <w:sz w:val="20"/>
                <w:szCs w:val="20"/>
              </w:rPr>
              <w:t>SZ DATA – zpracování sociálních a</w:t>
            </w:r>
            <w:r w:rsidRPr="00782133">
              <w:rPr>
                <w:rStyle w:val="normaltextrun"/>
                <w:rFonts w:ascii="Arial" w:hAnsi="Arial" w:cs="Arial"/>
                <w:sz w:val="20"/>
                <w:szCs w:val="20"/>
              </w:rPr>
              <w:t> </w:t>
            </w:r>
            <w:r w:rsidRPr="00782133">
              <w:rPr>
                <w:rStyle w:val="normaltextrun"/>
                <w:rFonts w:cs="Calibri"/>
                <w:sz w:val="20"/>
                <w:szCs w:val="20"/>
              </w:rPr>
              <w:t>zdravotních dat</w:t>
            </w:r>
            <w:r w:rsidRPr="00782133">
              <w:rPr>
                <w:rStyle w:val="eop"/>
                <w:rFonts w:cs="Calibri"/>
                <w:sz w:val="20"/>
                <w:szCs w:val="20"/>
              </w:rPr>
              <w:t> </w:t>
            </w:r>
          </w:p>
        </w:tc>
        <w:tc>
          <w:tcPr>
            <w:tcW w:w="559" w:type="dxa"/>
            <w:vAlign w:val="center"/>
          </w:tcPr>
          <w:p w14:paraId="298C044B"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665" w:type="dxa"/>
            <w:vAlign w:val="center"/>
          </w:tcPr>
          <w:p w14:paraId="7B8D8CBB"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005CD9D3"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051D18BF"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484B077E"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58" w:type="dxa"/>
            <w:vAlign w:val="center"/>
          </w:tcPr>
          <w:p w14:paraId="016B4627"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15" w:type="dxa"/>
            <w:vAlign w:val="center"/>
          </w:tcPr>
          <w:p w14:paraId="0B6EFD8B"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19" w:type="dxa"/>
            <w:vAlign w:val="center"/>
          </w:tcPr>
          <w:p w14:paraId="3C0179E4"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7" w:type="dxa"/>
            <w:vAlign w:val="center"/>
          </w:tcPr>
          <w:p w14:paraId="1FADEE3E"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6E998A8D"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13652EBF"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2BBF220A"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r>
      <w:tr w:rsidR="00B17E1F" w:rsidRPr="0070654A" w14:paraId="1DC3D35F" w14:textId="77777777">
        <w:tc>
          <w:tcPr>
            <w:tcW w:w="3196" w:type="dxa"/>
            <w:shd w:val="clear" w:color="auto" w:fill="EAEDF1" w:themeFill="text2" w:themeFillTint="1A"/>
            <w:vAlign w:val="center"/>
          </w:tcPr>
          <w:p w14:paraId="62ABA6A8" w14:textId="77777777" w:rsidR="00B17E1F" w:rsidRPr="00782133" w:rsidRDefault="00B17E1F">
            <w:pPr>
              <w:tabs>
                <w:tab w:val="left" w:pos="0"/>
                <w:tab w:val="left" w:pos="720"/>
              </w:tabs>
              <w:rPr>
                <w:rStyle w:val="normaltextrun"/>
                <w:rFonts w:cs="Calibri"/>
                <w:sz w:val="20"/>
                <w:szCs w:val="20"/>
              </w:rPr>
            </w:pPr>
            <w:r w:rsidRPr="00782133">
              <w:rPr>
                <w:rStyle w:val="normaltextrun"/>
                <w:rFonts w:cs="Calibri"/>
                <w:sz w:val="20"/>
                <w:szCs w:val="20"/>
              </w:rPr>
              <w:t>Národní strategie elektronického zdravotnictví ČR 2025–2035</w:t>
            </w:r>
            <w:r w:rsidRPr="00782133">
              <w:rPr>
                <w:rStyle w:val="eop"/>
                <w:rFonts w:cs="Calibri"/>
                <w:sz w:val="20"/>
                <w:szCs w:val="20"/>
              </w:rPr>
              <w:t> </w:t>
            </w:r>
          </w:p>
        </w:tc>
        <w:tc>
          <w:tcPr>
            <w:tcW w:w="559" w:type="dxa"/>
            <w:vAlign w:val="center"/>
          </w:tcPr>
          <w:p w14:paraId="6E25540B"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665" w:type="dxa"/>
            <w:vAlign w:val="center"/>
          </w:tcPr>
          <w:p w14:paraId="2916221C"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5127463E"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6ABE8998"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2AB17A97"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58" w:type="dxa"/>
            <w:vAlign w:val="center"/>
          </w:tcPr>
          <w:p w14:paraId="75B8BBAF"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15" w:type="dxa"/>
            <w:vAlign w:val="center"/>
          </w:tcPr>
          <w:p w14:paraId="4B0517B1"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19" w:type="dxa"/>
            <w:vAlign w:val="center"/>
          </w:tcPr>
          <w:p w14:paraId="1D6AC987"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7" w:type="dxa"/>
            <w:vAlign w:val="center"/>
          </w:tcPr>
          <w:p w14:paraId="24C20CEC"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43767B26"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9" w:type="dxa"/>
            <w:vAlign w:val="center"/>
          </w:tcPr>
          <w:p w14:paraId="335F2A3C"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64E419EF"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r>
      <w:tr w:rsidR="00B17E1F" w:rsidRPr="0070654A" w14:paraId="4FC0D86E" w14:textId="77777777">
        <w:tc>
          <w:tcPr>
            <w:tcW w:w="3196" w:type="dxa"/>
            <w:shd w:val="clear" w:color="auto" w:fill="EAEDF1" w:themeFill="text2" w:themeFillTint="1A"/>
            <w:vAlign w:val="center"/>
          </w:tcPr>
          <w:p w14:paraId="7C90AC6A" w14:textId="77777777" w:rsidR="00B17E1F" w:rsidRPr="00782133" w:rsidRDefault="00B17E1F">
            <w:pPr>
              <w:tabs>
                <w:tab w:val="left" w:pos="0"/>
                <w:tab w:val="left" w:pos="720"/>
              </w:tabs>
              <w:rPr>
                <w:rFonts w:eastAsia="Aptos" w:cs="Aptos"/>
                <w:i/>
                <w:iCs/>
                <w:sz w:val="20"/>
                <w:szCs w:val="20"/>
              </w:rPr>
            </w:pPr>
            <w:r w:rsidRPr="00782133">
              <w:rPr>
                <w:rFonts w:cs="Calibri"/>
                <w:sz w:val="20"/>
                <w:szCs w:val="20"/>
              </w:rPr>
              <w:t>Strategie sociálního začleňování 2021–2030</w:t>
            </w:r>
          </w:p>
        </w:tc>
        <w:tc>
          <w:tcPr>
            <w:tcW w:w="559" w:type="dxa"/>
            <w:vAlign w:val="center"/>
          </w:tcPr>
          <w:p w14:paraId="55335498"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665" w:type="dxa"/>
            <w:vAlign w:val="center"/>
          </w:tcPr>
          <w:p w14:paraId="2D412F40"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38BE7089"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7CEFF9C7"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1D4E4879"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58" w:type="dxa"/>
            <w:vAlign w:val="center"/>
          </w:tcPr>
          <w:p w14:paraId="5F3F0320"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Ano</w:t>
            </w:r>
            <w:r w:rsidRPr="0070654A">
              <w:rPr>
                <w:rStyle w:val="eop"/>
                <w:rFonts w:cs="Calibri"/>
                <w:sz w:val="18"/>
                <w:szCs w:val="18"/>
              </w:rPr>
              <w:t> </w:t>
            </w:r>
          </w:p>
        </w:tc>
        <w:tc>
          <w:tcPr>
            <w:tcW w:w="1015" w:type="dxa"/>
            <w:vAlign w:val="center"/>
          </w:tcPr>
          <w:p w14:paraId="0F67D32C"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19" w:type="dxa"/>
            <w:vAlign w:val="center"/>
          </w:tcPr>
          <w:p w14:paraId="1D1CEBB8"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107" w:type="dxa"/>
            <w:vAlign w:val="center"/>
          </w:tcPr>
          <w:p w14:paraId="798BB62D"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7FD8CF5C"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3B97F5BB"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4FBAE3C5" w14:textId="77777777" w:rsidR="00B17E1F" w:rsidRPr="0070654A" w:rsidRDefault="00B17E1F">
            <w:pPr>
              <w:tabs>
                <w:tab w:val="left" w:pos="0"/>
                <w:tab w:val="left" w:pos="720"/>
              </w:tabs>
              <w:jc w:val="center"/>
              <w:rPr>
                <w:rFonts w:eastAsia="Aptos" w:cs="Aptos"/>
                <w:i/>
                <w:iCs/>
                <w:sz w:val="18"/>
                <w:szCs w:val="18"/>
              </w:rPr>
            </w:pPr>
            <w:r w:rsidRPr="0070654A">
              <w:rPr>
                <w:rStyle w:val="normaltextrun"/>
                <w:rFonts w:cs="Calibri"/>
                <w:sz w:val="18"/>
                <w:szCs w:val="18"/>
              </w:rPr>
              <w:t>Ne</w:t>
            </w:r>
            <w:r w:rsidRPr="0070654A">
              <w:rPr>
                <w:rStyle w:val="eop"/>
                <w:rFonts w:cs="Calibri"/>
                <w:sz w:val="18"/>
                <w:szCs w:val="18"/>
              </w:rPr>
              <w:t> </w:t>
            </w:r>
          </w:p>
        </w:tc>
      </w:tr>
      <w:tr w:rsidR="00B17E1F" w:rsidRPr="0070654A" w14:paraId="19606FE4" w14:textId="77777777">
        <w:tc>
          <w:tcPr>
            <w:tcW w:w="3196" w:type="dxa"/>
            <w:shd w:val="clear" w:color="auto" w:fill="EAEDF1" w:themeFill="text2" w:themeFillTint="1A"/>
            <w:vAlign w:val="center"/>
          </w:tcPr>
          <w:p w14:paraId="343BC1F6" w14:textId="77777777" w:rsidR="00B17E1F" w:rsidRPr="00782133" w:rsidRDefault="00B17E1F">
            <w:pPr>
              <w:tabs>
                <w:tab w:val="left" w:pos="0"/>
                <w:tab w:val="left" w:pos="720"/>
              </w:tabs>
              <w:rPr>
                <w:rFonts w:cs="Calibri"/>
                <w:sz w:val="20"/>
                <w:szCs w:val="20"/>
              </w:rPr>
            </w:pPr>
            <w:r w:rsidRPr="00782133">
              <w:rPr>
                <w:rFonts w:cs="Calibri"/>
                <w:sz w:val="20"/>
                <w:szCs w:val="20"/>
              </w:rPr>
              <w:t>Národní kardiovaskulární plán ČR 2025–2035</w:t>
            </w:r>
          </w:p>
        </w:tc>
        <w:tc>
          <w:tcPr>
            <w:tcW w:w="559" w:type="dxa"/>
            <w:vAlign w:val="center"/>
          </w:tcPr>
          <w:p w14:paraId="738CD793"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665" w:type="dxa"/>
            <w:vAlign w:val="center"/>
          </w:tcPr>
          <w:p w14:paraId="7D37211A"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46FDE8A4"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15D2C1B5"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515E0655"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58" w:type="dxa"/>
            <w:vAlign w:val="center"/>
          </w:tcPr>
          <w:p w14:paraId="1F25D2F5"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Částečně</w:t>
            </w:r>
            <w:r w:rsidRPr="0070654A">
              <w:rPr>
                <w:rStyle w:val="eop"/>
                <w:rFonts w:cs="Calibri"/>
                <w:sz w:val="18"/>
                <w:szCs w:val="18"/>
              </w:rPr>
              <w:t> </w:t>
            </w:r>
          </w:p>
        </w:tc>
        <w:tc>
          <w:tcPr>
            <w:tcW w:w="1015" w:type="dxa"/>
            <w:vAlign w:val="center"/>
          </w:tcPr>
          <w:p w14:paraId="091ABFF3"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19" w:type="dxa"/>
            <w:vAlign w:val="center"/>
          </w:tcPr>
          <w:p w14:paraId="62427091"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107" w:type="dxa"/>
            <w:vAlign w:val="center"/>
          </w:tcPr>
          <w:p w14:paraId="29E559B9"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5EAFC906"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18BFDB93"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13575B90"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Ne</w:t>
            </w:r>
            <w:r w:rsidRPr="0070654A">
              <w:rPr>
                <w:rStyle w:val="eop"/>
                <w:rFonts w:cs="Calibri"/>
                <w:sz w:val="18"/>
                <w:szCs w:val="18"/>
              </w:rPr>
              <w:t> </w:t>
            </w:r>
          </w:p>
        </w:tc>
      </w:tr>
      <w:tr w:rsidR="00B17E1F" w:rsidRPr="0070654A" w14:paraId="3B75C121" w14:textId="77777777">
        <w:tc>
          <w:tcPr>
            <w:tcW w:w="3196" w:type="dxa"/>
            <w:shd w:val="clear" w:color="auto" w:fill="EAEDF1" w:themeFill="text2" w:themeFillTint="1A"/>
            <w:vAlign w:val="center"/>
          </w:tcPr>
          <w:p w14:paraId="23B149BC" w14:textId="77777777" w:rsidR="00B17E1F" w:rsidRPr="00782133" w:rsidRDefault="00B17E1F">
            <w:pPr>
              <w:tabs>
                <w:tab w:val="left" w:pos="0"/>
                <w:tab w:val="left" w:pos="720"/>
              </w:tabs>
              <w:rPr>
                <w:rFonts w:cs="Calibri"/>
                <w:sz w:val="20"/>
                <w:szCs w:val="20"/>
              </w:rPr>
            </w:pPr>
            <w:r w:rsidRPr="00782133">
              <w:rPr>
                <w:rFonts w:cs="Calibri"/>
                <w:sz w:val="20"/>
                <w:szCs w:val="20"/>
              </w:rPr>
              <w:t>Národní onkologický plán ČR 2030</w:t>
            </w:r>
          </w:p>
        </w:tc>
        <w:tc>
          <w:tcPr>
            <w:tcW w:w="559" w:type="dxa"/>
            <w:vAlign w:val="center"/>
          </w:tcPr>
          <w:p w14:paraId="636664D9"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665" w:type="dxa"/>
            <w:vAlign w:val="center"/>
          </w:tcPr>
          <w:p w14:paraId="6A37B178"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75A04439"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206633AC"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0BD915CB"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58" w:type="dxa"/>
            <w:vAlign w:val="center"/>
          </w:tcPr>
          <w:p w14:paraId="2225CB17"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15" w:type="dxa"/>
            <w:vAlign w:val="center"/>
          </w:tcPr>
          <w:p w14:paraId="1EECE9A1"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19" w:type="dxa"/>
            <w:vAlign w:val="center"/>
          </w:tcPr>
          <w:p w14:paraId="01CB88C7"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107" w:type="dxa"/>
            <w:vAlign w:val="center"/>
          </w:tcPr>
          <w:p w14:paraId="784AF21D"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6E3728BD"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5522C249"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31844C74" w14:textId="77777777" w:rsidR="00B17E1F" w:rsidRPr="0070654A" w:rsidRDefault="00B17E1F">
            <w:pPr>
              <w:tabs>
                <w:tab w:val="left" w:pos="0"/>
                <w:tab w:val="left" w:pos="720"/>
              </w:tabs>
              <w:jc w:val="center"/>
              <w:rPr>
                <w:rFonts w:cs="Calibri"/>
                <w:sz w:val="18"/>
                <w:szCs w:val="18"/>
              </w:rPr>
            </w:pPr>
            <w:r w:rsidRPr="0070654A">
              <w:rPr>
                <w:rStyle w:val="normaltextrun"/>
                <w:rFonts w:cs="Calibri"/>
                <w:sz w:val="18"/>
                <w:szCs w:val="18"/>
              </w:rPr>
              <w:t>Ne</w:t>
            </w:r>
            <w:r w:rsidRPr="0070654A">
              <w:rPr>
                <w:rStyle w:val="eop"/>
                <w:rFonts w:cs="Calibri"/>
                <w:sz w:val="18"/>
                <w:szCs w:val="18"/>
              </w:rPr>
              <w:t> </w:t>
            </w:r>
          </w:p>
        </w:tc>
      </w:tr>
      <w:tr w:rsidR="00B17E1F" w:rsidRPr="0070654A" w14:paraId="5145A749" w14:textId="77777777">
        <w:tc>
          <w:tcPr>
            <w:tcW w:w="3196" w:type="dxa"/>
            <w:shd w:val="clear" w:color="auto" w:fill="EAEDF1" w:themeFill="text2" w:themeFillTint="1A"/>
            <w:vAlign w:val="center"/>
          </w:tcPr>
          <w:p w14:paraId="2F7ED14D" w14:textId="77777777" w:rsidR="00B17E1F" w:rsidRPr="00782133" w:rsidRDefault="00B17E1F">
            <w:pPr>
              <w:tabs>
                <w:tab w:val="left" w:pos="0"/>
                <w:tab w:val="left" w:pos="720"/>
              </w:tabs>
              <w:rPr>
                <w:rFonts w:cs="Calibri"/>
                <w:sz w:val="20"/>
                <w:szCs w:val="20"/>
              </w:rPr>
            </w:pPr>
            <w:r w:rsidRPr="00782133">
              <w:rPr>
                <w:rStyle w:val="normaltextrun"/>
                <w:rFonts w:cs="Calibri"/>
                <w:sz w:val="20"/>
                <w:szCs w:val="20"/>
              </w:rPr>
              <w:t>Národní strategie rozvoje sociálních služeb na období 2026-2030</w:t>
            </w:r>
            <w:r w:rsidRPr="00782133">
              <w:rPr>
                <w:rStyle w:val="eop"/>
                <w:rFonts w:cs="Calibri"/>
                <w:sz w:val="20"/>
                <w:szCs w:val="20"/>
              </w:rPr>
              <w:t> </w:t>
            </w:r>
          </w:p>
        </w:tc>
        <w:tc>
          <w:tcPr>
            <w:tcW w:w="559" w:type="dxa"/>
            <w:vAlign w:val="center"/>
          </w:tcPr>
          <w:p w14:paraId="2F30474C"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665" w:type="dxa"/>
            <w:vAlign w:val="center"/>
          </w:tcPr>
          <w:p w14:paraId="6A2BFDA8"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34AF0813"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39D585E9"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Částečně</w:t>
            </w:r>
            <w:r w:rsidRPr="0070654A">
              <w:rPr>
                <w:rStyle w:val="eop"/>
                <w:rFonts w:cs="Calibri"/>
                <w:sz w:val="18"/>
                <w:szCs w:val="18"/>
              </w:rPr>
              <w:t> </w:t>
            </w:r>
          </w:p>
        </w:tc>
        <w:tc>
          <w:tcPr>
            <w:tcW w:w="1000" w:type="dxa"/>
            <w:vAlign w:val="center"/>
          </w:tcPr>
          <w:p w14:paraId="4F7F20A6"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Částečně</w:t>
            </w:r>
            <w:r w:rsidRPr="0070654A">
              <w:rPr>
                <w:rStyle w:val="eop"/>
                <w:rFonts w:cs="Calibri"/>
                <w:sz w:val="18"/>
                <w:szCs w:val="18"/>
              </w:rPr>
              <w:t> </w:t>
            </w:r>
          </w:p>
        </w:tc>
        <w:tc>
          <w:tcPr>
            <w:tcW w:w="1058" w:type="dxa"/>
            <w:vAlign w:val="center"/>
          </w:tcPr>
          <w:p w14:paraId="5B145473"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Částečně</w:t>
            </w:r>
            <w:r w:rsidRPr="0070654A">
              <w:rPr>
                <w:rStyle w:val="eop"/>
                <w:rFonts w:cs="Calibri"/>
                <w:sz w:val="18"/>
                <w:szCs w:val="18"/>
              </w:rPr>
              <w:t> </w:t>
            </w:r>
          </w:p>
        </w:tc>
        <w:tc>
          <w:tcPr>
            <w:tcW w:w="1015" w:type="dxa"/>
            <w:vAlign w:val="center"/>
          </w:tcPr>
          <w:p w14:paraId="35F898F1"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19" w:type="dxa"/>
            <w:vAlign w:val="center"/>
          </w:tcPr>
          <w:p w14:paraId="1D10353D"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7" w:type="dxa"/>
            <w:vAlign w:val="center"/>
          </w:tcPr>
          <w:p w14:paraId="11D716EA"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0396D9DD"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4D30B85E"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611DDA1E"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r>
      <w:tr w:rsidR="00B17E1F" w:rsidRPr="0070654A" w14:paraId="329446A7" w14:textId="77777777">
        <w:tc>
          <w:tcPr>
            <w:tcW w:w="3196" w:type="dxa"/>
            <w:shd w:val="clear" w:color="auto" w:fill="EAEDF1" w:themeFill="text2" w:themeFillTint="1A"/>
            <w:vAlign w:val="center"/>
          </w:tcPr>
          <w:p w14:paraId="782F750E" w14:textId="77777777" w:rsidR="00B17E1F" w:rsidRPr="00782133" w:rsidRDefault="00B17E1F">
            <w:pPr>
              <w:tabs>
                <w:tab w:val="left" w:pos="0"/>
                <w:tab w:val="left" w:pos="720"/>
              </w:tabs>
              <w:rPr>
                <w:rFonts w:cs="Calibri"/>
                <w:sz w:val="20"/>
                <w:szCs w:val="20"/>
              </w:rPr>
            </w:pPr>
            <w:r w:rsidRPr="00782133">
              <w:rPr>
                <w:rStyle w:val="normaltextrun"/>
                <w:rFonts w:cs="Calibri"/>
                <w:sz w:val="20"/>
                <w:szCs w:val="20"/>
              </w:rPr>
              <w:t>Koncepce sdílení a sekundárního</w:t>
            </w:r>
            <w:r w:rsidRPr="00782133">
              <w:rPr>
                <w:rStyle w:val="scxw261242668"/>
                <w:rFonts w:cs="Calibri"/>
                <w:sz w:val="20"/>
                <w:szCs w:val="20"/>
              </w:rPr>
              <w:t> </w:t>
            </w:r>
            <w:r w:rsidRPr="00782133">
              <w:rPr>
                <w:rFonts w:cs="Calibri"/>
                <w:sz w:val="20"/>
                <w:szCs w:val="20"/>
              </w:rPr>
              <w:br/>
            </w:r>
            <w:r w:rsidRPr="00782133">
              <w:rPr>
                <w:rStyle w:val="normaltextrun"/>
                <w:rFonts w:cs="Calibri"/>
                <w:sz w:val="20"/>
                <w:szCs w:val="20"/>
              </w:rPr>
              <w:t>vytěžování dat NZIS</w:t>
            </w:r>
            <w:r w:rsidRPr="00782133">
              <w:rPr>
                <w:rStyle w:val="eop"/>
                <w:rFonts w:cs="Calibri"/>
                <w:sz w:val="20"/>
                <w:szCs w:val="20"/>
              </w:rPr>
              <w:t> </w:t>
            </w:r>
          </w:p>
        </w:tc>
        <w:tc>
          <w:tcPr>
            <w:tcW w:w="559" w:type="dxa"/>
            <w:vAlign w:val="center"/>
          </w:tcPr>
          <w:p w14:paraId="4FAA9C9C"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665" w:type="dxa"/>
            <w:vAlign w:val="center"/>
          </w:tcPr>
          <w:p w14:paraId="5F46F6B2"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4072E554"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12D4991E"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0102BFF6"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58" w:type="dxa"/>
            <w:vAlign w:val="center"/>
          </w:tcPr>
          <w:p w14:paraId="618AEC59"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Částečně</w:t>
            </w:r>
            <w:r w:rsidRPr="0070654A">
              <w:rPr>
                <w:rStyle w:val="eop"/>
                <w:rFonts w:cs="Calibri"/>
                <w:sz w:val="18"/>
                <w:szCs w:val="18"/>
              </w:rPr>
              <w:t> </w:t>
            </w:r>
          </w:p>
        </w:tc>
        <w:tc>
          <w:tcPr>
            <w:tcW w:w="1015" w:type="dxa"/>
            <w:vAlign w:val="center"/>
          </w:tcPr>
          <w:p w14:paraId="299A0413"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19" w:type="dxa"/>
            <w:vAlign w:val="center"/>
          </w:tcPr>
          <w:p w14:paraId="149B27DE"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7" w:type="dxa"/>
            <w:vAlign w:val="center"/>
          </w:tcPr>
          <w:p w14:paraId="1F5536C2"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2322726A"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7B8C2059"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49C2005A"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r>
      <w:tr w:rsidR="00B17E1F" w:rsidRPr="0070654A" w14:paraId="23EB0956" w14:textId="77777777">
        <w:tc>
          <w:tcPr>
            <w:tcW w:w="3196" w:type="dxa"/>
            <w:shd w:val="clear" w:color="auto" w:fill="EAEDF1" w:themeFill="text2" w:themeFillTint="1A"/>
            <w:vAlign w:val="center"/>
          </w:tcPr>
          <w:p w14:paraId="7D6732DB" w14:textId="77777777" w:rsidR="00B17E1F" w:rsidRPr="00782133" w:rsidRDefault="00B17E1F">
            <w:pPr>
              <w:tabs>
                <w:tab w:val="left" w:pos="0"/>
                <w:tab w:val="left" w:pos="720"/>
              </w:tabs>
              <w:rPr>
                <w:rFonts w:cs="Calibri"/>
                <w:sz w:val="20"/>
                <w:szCs w:val="20"/>
              </w:rPr>
            </w:pPr>
            <w:r w:rsidRPr="00782133">
              <w:rPr>
                <w:rStyle w:val="normaltextrun"/>
                <w:rFonts w:cs="Calibri"/>
                <w:sz w:val="20"/>
                <w:szCs w:val="20"/>
              </w:rPr>
              <w:t>Strategie umělé inteligence</w:t>
            </w:r>
            <w:r w:rsidRPr="00782133">
              <w:rPr>
                <w:rStyle w:val="eop"/>
                <w:rFonts w:cs="Calibri"/>
                <w:sz w:val="20"/>
                <w:szCs w:val="20"/>
              </w:rPr>
              <w:t> </w:t>
            </w:r>
          </w:p>
        </w:tc>
        <w:tc>
          <w:tcPr>
            <w:tcW w:w="559" w:type="dxa"/>
            <w:vAlign w:val="center"/>
          </w:tcPr>
          <w:p w14:paraId="7B16F29E"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665" w:type="dxa"/>
            <w:vAlign w:val="center"/>
          </w:tcPr>
          <w:p w14:paraId="3A66895D"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0" w:type="dxa"/>
            <w:vAlign w:val="center"/>
          </w:tcPr>
          <w:p w14:paraId="0AB09944"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Částečně</w:t>
            </w:r>
            <w:r w:rsidRPr="0070654A">
              <w:rPr>
                <w:rStyle w:val="eop"/>
                <w:rFonts w:cs="Calibri"/>
                <w:sz w:val="18"/>
                <w:szCs w:val="18"/>
              </w:rPr>
              <w:t> </w:t>
            </w:r>
          </w:p>
        </w:tc>
        <w:tc>
          <w:tcPr>
            <w:tcW w:w="1000" w:type="dxa"/>
            <w:vAlign w:val="center"/>
          </w:tcPr>
          <w:p w14:paraId="33F48F6F"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Ano</w:t>
            </w:r>
            <w:r w:rsidRPr="0070654A">
              <w:rPr>
                <w:rStyle w:val="eop"/>
                <w:rFonts w:cs="Calibri"/>
                <w:sz w:val="18"/>
                <w:szCs w:val="18"/>
              </w:rPr>
              <w:t> </w:t>
            </w:r>
          </w:p>
        </w:tc>
        <w:tc>
          <w:tcPr>
            <w:tcW w:w="1000" w:type="dxa"/>
            <w:vAlign w:val="center"/>
          </w:tcPr>
          <w:p w14:paraId="482F64F9"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Částečně</w:t>
            </w:r>
            <w:r w:rsidRPr="0070654A">
              <w:rPr>
                <w:rStyle w:val="eop"/>
                <w:rFonts w:cs="Calibri"/>
                <w:sz w:val="18"/>
                <w:szCs w:val="18"/>
              </w:rPr>
              <w:t> </w:t>
            </w:r>
          </w:p>
        </w:tc>
        <w:tc>
          <w:tcPr>
            <w:tcW w:w="1058" w:type="dxa"/>
            <w:vAlign w:val="center"/>
          </w:tcPr>
          <w:p w14:paraId="5D418184"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15" w:type="dxa"/>
            <w:vAlign w:val="center"/>
          </w:tcPr>
          <w:p w14:paraId="351295B9"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19" w:type="dxa"/>
            <w:vAlign w:val="center"/>
          </w:tcPr>
          <w:p w14:paraId="25069BD9"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7" w:type="dxa"/>
            <w:vAlign w:val="center"/>
          </w:tcPr>
          <w:p w14:paraId="09958BCF"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109" w:type="dxa"/>
            <w:vAlign w:val="center"/>
          </w:tcPr>
          <w:p w14:paraId="49212B9C"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Ne</w:t>
            </w:r>
            <w:r w:rsidRPr="0070654A">
              <w:rPr>
                <w:rStyle w:val="eop"/>
                <w:rFonts w:cs="Calibri"/>
                <w:sz w:val="18"/>
                <w:szCs w:val="18"/>
              </w:rPr>
              <w:t> </w:t>
            </w:r>
          </w:p>
        </w:tc>
        <w:tc>
          <w:tcPr>
            <w:tcW w:w="1009" w:type="dxa"/>
            <w:vAlign w:val="center"/>
          </w:tcPr>
          <w:p w14:paraId="1892EE58" w14:textId="77777777" w:rsidR="00B17E1F" w:rsidRPr="0070654A" w:rsidRDefault="00B17E1F">
            <w:pPr>
              <w:tabs>
                <w:tab w:val="left" w:pos="0"/>
                <w:tab w:val="left" w:pos="720"/>
              </w:tabs>
              <w:jc w:val="center"/>
              <w:rPr>
                <w:rStyle w:val="normaltextrun"/>
                <w:rFonts w:cs="Calibri"/>
                <w:sz w:val="18"/>
                <w:szCs w:val="18"/>
              </w:rPr>
            </w:pPr>
            <w:r w:rsidRPr="0070654A">
              <w:rPr>
                <w:rStyle w:val="normaltextrun"/>
                <w:rFonts w:cs="Calibri"/>
                <w:sz w:val="18"/>
                <w:szCs w:val="18"/>
              </w:rPr>
              <w:t>Částečně</w:t>
            </w:r>
            <w:r w:rsidRPr="0070654A">
              <w:rPr>
                <w:rStyle w:val="eop"/>
                <w:rFonts w:cs="Calibri"/>
                <w:sz w:val="18"/>
                <w:szCs w:val="18"/>
              </w:rPr>
              <w:t> </w:t>
            </w:r>
          </w:p>
        </w:tc>
        <w:tc>
          <w:tcPr>
            <w:tcW w:w="1000" w:type="dxa"/>
            <w:vAlign w:val="center"/>
          </w:tcPr>
          <w:p w14:paraId="57CE644F" w14:textId="77777777" w:rsidR="00B17E1F" w:rsidRPr="0070654A" w:rsidRDefault="00B17E1F">
            <w:pPr>
              <w:keepNext/>
              <w:tabs>
                <w:tab w:val="left" w:pos="0"/>
                <w:tab w:val="left" w:pos="720"/>
              </w:tabs>
              <w:jc w:val="center"/>
              <w:rPr>
                <w:rStyle w:val="normaltextrun"/>
                <w:rFonts w:cs="Calibri"/>
                <w:sz w:val="18"/>
                <w:szCs w:val="18"/>
              </w:rPr>
            </w:pPr>
            <w:r w:rsidRPr="0070654A">
              <w:rPr>
                <w:rStyle w:val="normaltextrun"/>
                <w:rFonts w:cs="Calibri"/>
                <w:sz w:val="18"/>
                <w:szCs w:val="18"/>
              </w:rPr>
              <w:t>Částečně</w:t>
            </w:r>
            <w:r w:rsidRPr="0070654A">
              <w:rPr>
                <w:rStyle w:val="eop"/>
                <w:rFonts w:cs="Calibri"/>
                <w:sz w:val="18"/>
                <w:szCs w:val="18"/>
              </w:rPr>
              <w:t> </w:t>
            </w:r>
          </w:p>
        </w:tc>
      </w:tr>
      <w:tr w:rsidR="00B17E1F" w:rsidRPr="0070654A" w14:paraId="52AA3E4A" w14:textId="77777777">
        <w:tc>
          <w:tcPr>
            <w:tcW w:w="3196" w:type="dxa"/>
            <w:shd w:val="clear" w:color="auto" w:fill="EAEDF1" w:themeFill="text2" w:themeFillTint="1A"/>
            <w:vAlign w:val="center"/>
          </w:tcPr>
          <w:p w14:paraId="0AD1EB88" w14:textId="77777777" w:rsidR="00B17E1F" w:rsidRPr="00782133" w:rsidRDefault="00B17E1F">
            <w:pPr>
              <w:tabs>
                <w:tab w:val="left" w:pos="0"/>
                <w:tab w:val="left" w:pos="720"/>
              </w:tabs>
              <w:rPr>
                <w:rStyle w:val="normaltextrun"/>
                <w:rFonts w:cs="Calibri"/>
                <w:sz w:val="20"/>
                <w:szCs w:val="20"/>
              </w:rPr>
            </w:pPr>
            <w:r w:rsidRPr="00D9127D">
              <w:rPr>
                <w:rStyle w:val="normaltextrun"/>
                <w:rFonts w:cs="Calibri"/>
                <w:sz w:val="20"/>
                <w:szCs w:val="20"/>
              </w:rPr>
              <w:t>Národní výzkumná a inovační strategie pro inteligentní specializaci ČR 2021–2027</w:t>
            </w:r>
          </w:p>
        </w:tc>
        <w:tc>
          <w:tcPr>
            <w:tcW w:w="559" w:type="dxa"/>
            <w:vAlign w:val="center"/>
          </w:tcPr>
          <w:p w14:paraId="3245783B" w14:textId="77777777" w:rsidR="00B17E1F" w:rsidRPr="0070654A" w:rsidRDefault="00B17E1F">
            <w:pPr>
              <w:tabs>
                <w:tab w:val="left" w:pos="0"/>
                <w:tab w:val="left" w:pos="720"/>
              </w:tabs>
              <w:jc w:val="center"/>
              <w:rPr>
                <w:rStyle w:val="normaltextrun"/>
                <w:rFonts w:cs="Calibri"/>
                <w:sz w:val="18"/>
                <w:szCs w:val="18"/>
              </w:rPr>
            </w:pPr>
            <w:r>
              <w:rPr>
                <w:rStyle w:val="normaltextrun"/>
                <w:rFonts w:cs="Calibri"/>
                <w:sz w:val="18"/>
                <w:szCs w:val="18"/>
              </w:rPr>
              <w:t>Ne</w:t>
            </w:r>
          </w:p>
        </w:tc>
        <w:tc>
          <w:tcPr>
            <w:tcW w:w="665" w:type="dxa"/>
            <w:vAlign w:val="center"/>
          </w:tcPr>
          <w:p w14:paraId="2E222F46" w14:textId="77777777" w:rsidR="00B17E1F" w:rsidRPr="0070654A" w:rsidRDefault="00B17E1F">
            <w:pPr>
              <w:tabs>
                <w:tab w:val="left" w:pos="0"/>
                <w:tab w:val="left" w:pos="720"/>
              </w:tabs>
              <w:jc w:val="center"/>
              <w:rPr>
                <w:rStyle w:val="normaltextrun"/>
                <w:rFonts w:cs="Calibri"/>
                <w:sz w:val="18"/>
                <w:szCs w:val="18"/>
              </w:rPr>
            </w:pPr>
            <w:r>
              <w:rPr>
                <w:rStyle w:val="normaltextrun"/>
                <w:rFonts w:cs="Calibri"/>
                <w:sz w:val="18"/>
                <w:szCs w:val="18"/>
              </w:rPr>
              <w:t>Ne</w:t>
            </w:r>
          </w:p>
        </w:tc>
        <w:tc>
          <w:tcPr>
            <w:tcW w:w="1000" w:type="dxa"/>
            <w:vAlign w:val="center"/>
          </w:tcPr>
          <w:p w14:paraId="707C60FA" w14:textId="77777777" w:rsidR="00B17E1F" w:rsidRPr="0070654A" w:rsidRDefault="00B17E1F">
            <w:pPr>
              <w:tabs>
                <w:tab w:val="left" w:pos="0"/>
                <w:tab w:val="left" w:pos="720"/>
              </w:tabs>
              <w:jc w:val="center"/>
              <w:rPr>
                <w:rStyle w:val="normaltextrun"/>
                <w:rFonts w:cs="Calibri"/>
                <w:sz w:val="18"/>
                <w:szCs w:val="18"/>
              </w:rPr>
            </w:pPr>
            <w:r>
              <w:rPr>
                <w:rStyle w:val="normaltextrun"/>
                <w:rFonts w:cs="Calibri"/>
                <w:sz w:val="18"/>
                <w:szCs w:val="18"/>
              </w:rPr>
              <w:t>Částečně</w:t>
            </w:r>
          </w:p>
        </w:tc>
        <w:tc>
          <w:tcPr>
            <w:tcW w:w="1000" w:type="dxa"/>
            <w:vAlign w:val="center"/>
          </w:tcPr>
          <w:p w14:paraId="6EA13AC6" w14:textId="77777777" w:rsidR="00B17E1F" w:rsidRPr="0070654A" w:rsidRDefault="00B17E1F">
            <w:pPr>
              <w:tabs>
                <w:tab w:val="left" w:pos="0"/>
                <w:tab w:val="left" w:pos="720"/>
              </w:tabs>
              <w:jc w:val="center"/>
              <w:rPr>
                <w:rStyle w:val="normaltextrun"/>
                <w:rFonts w:cs="Calibri"/>
                <w:sz w:val="18"/>
                <w:szCs w:val="18"/>
              </w:rPr>
            </w:pPr>
            <w:r>
              <w:rPr>
                <w:rStyle w:val="normaltextrun"/>
                <w:rFonts w:cs="Calibri"/>
                <w:sz w:val="18"/>
                <w:szCs w:val="18"/>
              </w:rPr>
              <w:t>Ano</w:t>
            </w:r>
          </w:p>
        </w:tc>
        <w:tc>
          <w:tcPr>
            <w:tcW w:w="1000" w:type="dxa"/>
            <w:vAlign w:val="center"/>
          </w:tcPr>
          <w:p w14:paraId="3A58A3C2" w14:textId="77777777" w:rsidR="00B17E1F" w:rsidRPr="0070654A" w:rsidRDefault="00B17E1F">
            <w:pPr>
              <w:tabs>
                <w:tab w:val="left" w:pos="0"/>
                <w:tab w:val="left" w:pos="720"/>
              </w:tabs>
              <w:jc w:val="center"/>
              <w:rPr>
                <w:rStyle w:val="normaltextrun"/>
                <w:rFonts w:cs="Calibri"/>
                <w:sz w:val="18"/>
                <w:szCs w:val="18"/>
              </w:rPr>
            </w:pPr>
            <w:r>
              <w:rPr>
                <w:rStyle w:val="normaltextrun"/>
                <w:rFonts w:cs="Calibri"/>
                <w:sz w:val="18"/>
                <w:szCs w:val="18"/>
              </w:rPr>
              <w:t>Ne</w:t>
            </w:r>
          </w:p>
        </w:tc>
        <w:tc>
          <w:tcPr>
            <w:tcW w:w="1058" w:type="dxa"/>
            <w:vAlign w:val="center"/>
          </w:tcPr>
          <w:p w14:paraId="758F1D9E" w14:textId="77777777" w:rsidR="00B17E1F" w:rsidRPr="0070654A" w:rsidRDefault="00B17E1F">
            <w:pPr>
              <w:tabs>
                <w:tab w:val="left" w:pos="0"/>
                <w:tab w:val="left" w:pos="720"/>
              </w:tabs>
              <w:jc w:val="center"/>
              <w:rPr>
                <w:rStyle w:val="normaltextrun"/>
                <w:rFonts w:cs="Calibri"/>
                <w:sz w:val="18"/>
                <w:szCs w:val="18"/>
              </w:rPr>
            </w:pPr>
            <w:r>
              <w:rPr>
                <w:rStyle w:val="normaltextrun"/>
                <w:rFonts w:cs="Calibri"/>
                <w:sz w:val="18"/>
                <w:szCs w:val="18"/>
              </w:rPr>
              <w:t>Ne</w:t>
            </w:r>
          </w:p>
        </w:tc>
        <w:tc>
          <w:tcPr>
            <w:tcW w:w="1015" w:type="dxa"/>
            <w:vAlign w:val="center"/>
          </w:tcPr>
          <w:p w14:paraId="0E7035EE" w14:textId="77777777" w:rsidR="00B17E1F" w:rsidRPr="0070654A" w:rsidRDefault="00B17E1F">
            <w:pPr>
              <w:tabs>
                <w:tab w:val="left" w:pos="0"/>
                <w:tab w:val="left" w:pos="720"/>
              </w:tabs>
              <w:jc w:val="center"/>
              <w:rPr>
                <w:rStyle w:val="normaltextrun"/>
                <w:rFonts w:cs="Calibri"/>
                <w:sz w:val="18"/>
                <w:szCs w:val="18"/>
              </w:rPr>
            </w:pPr>
            <w:r>
              <w:rPr>
                <w:rStyle w:val="normaltextrun"/>
                <w:rFonts w:cs="Calibri"/>
                <w:sz w:val="18"/>
                <w:szCs w:val="18"/>
              </w:rPr>
              <w:t>Částečně</w:t>
            </w:r>
          </w:p>
        </w:tc>
        <w:tc>
          <w:tcPr>
            <w:tcW w:w="1019" w:type="dxa"/>
            <w:vAlign w:val="center"/>
          </w:tcPr>
          <w:p w14:paraId="01D1A4EF" w14:textId="77777777" w:rsidR="00B17E1F" w:rsidRPr="0070654A" w:rsidRDefault="00B17E1F">
            <w:pPr>
              <w:tabs>
                <w:tab w:val="left" w:pos="0"/>
                <w:tab w:val="left" w:pos="720"/>
              </w:tabs>
              <w:jc w:val="center"/>
              <w:rPr>
                <w:rStyle w:val="normaltextrun"/>
                <w:rFonts w:cs="Calibri"/>
                <w:sz w:val="18"/>
                <w:szCs w:val="18"/>
              </w:rPr>
            </w:pPr>
            <w:r>
              <w:rPr>
                <w:rStyle w:val="normaltextrun"/>
                <w:rFonts w:cs="Calibri"/>
                <w:sz w:val="18"/>
                <w:szCs w:val="18"/>
              </w:rPr>
              <w:t>Ano</w:t>
            </w:r>
          </w:p>
        </w:tc>
        <w:tc>
          <w:tcPr>
            <w:tcW w:w="1107" w:type="dxa"/>
            <w:vAlign w:val="center"/>
          </w:tcPr>
          <w:p w14:paraId="62B12483" w14:textId="77777777" w:rsidR="00B17E1F" w:rsidRPr="0070654A" w:rsidRDefault="00B17E1F">
            <w:pPr>
              <w:tabs>
                <w:tab w:val="left" w:pos="0"/>
                <w:tab w:val="left" w:pos="720"/>
              </w:tabs>
              <w:jc w:val="center"/>
              <w:rPr>
                <w:rStyle w:val="normaltextrun"/>
                <w:rFonts w:cs="Calibri"/>
                <w:sz w:val="18"/>
                <w:szCs w:val="18"/>
              </w:rPr>
            </w:pPr>
            <w:r>
              <w:rPr>
                <w:rStyle w:val="normaltextrun"/>
                <w:rFonts w:cs="Calibri"/>
                <w:sz w:val="18"/>
                <w:szCs w:val="18"/>
              </w:rPr>
              <w:t>Ne</w:t>
            </w:r>
          </w:p>
        </w:tc>
        <w:tc>
          <w:tcPr>
            <w:tcW w:w="1109" w:type="dxa"/>
            <w:vAlign w:val="center"/>
          </w:tcPr>
          <w:p w14:paraId="40D29E91" w14:textId="77777777" w:rsidR="00B17E1F" w:rsidRPr="0070654A" w:rsidRDefault="00B17E1F">
            <w:pPr>
              <w:tabs>
                <w:tab w:val="left" w:pos="0"/>
                <w:tab w:val="left" w:pos="720"/>
              </w:tabs>
              <w:jc w:val="center"/>
              <w:rPr>
                <w:rStyle w:val="normaltextrun"/>
                <w:rFonts w:cs="Calibri"/>
                <w:sz w:val="18"/>
                <w:szCs w:val="18"/>
              </w:rPr>
            </w:pPr>
            <w:r>
              <w:rPr>
                <w:rStyle w:val="normaltextrun"/>
                <w:rFonts w:cs="Calibri"/>
                <w:sz w:val="18"/>
                <w:szCs w:val="18"/>
              </w:rPr>
              <w:t>Ano</w:t>
            </w:r>
          </w:p>
        </w:tc>
        <w:tc>
          <w:tcPr>
            <w:tcW w:w="1009" w:type="dxa"/>
            <w:vAlign w:val="center"/>
          </w:tcPr>
          <w:p w14:paraId="6B19FD82" w14:textId="77777777" w:rsidR="00B17E1F" w:rsidRPr="0070654A" w:rsidRDefault="00B17E1F">
            <w:pPr>
              <w:tabs>
                <w:tab w:val="left" w:pos="0"/>
                <w:tab w:val="left" w:pos="720"/>
              </w:tabs>
              <w:jc w:val="center"/>
              <w:rPr>
                <w:rStyle w:val="normaltextrun"/>
                <w:rFonts w:cs="Calibri"/>
                <w:sz w:val="18"/>
                <w:szCs w:val="18"/>
              </w:rPr>
            </w:pPr>
            <w:r>
              <w:rPr>
                <w:rStyle w:val="normaltextrun"/>
                <w:rFonts w:cs="Calibri"/>
                <w:sz w:val="18"/>
                <w:szCs w:val="18"/>
              </w:rPr>
              <w:t>Ano</w:t>
            </w:r>
          </w:p>
        </w:tc>
        <w:tc>
          <w:tcPr>
            <w:tcW w:w="1000" w:type="dxa"/>
            <w:vAlign w:val="center"/>
          </w:tcPr>
          <w:p w14:paraId="5F1F6673" w14:textId="77777777" w:rsidR="00B17E1F" w:rsidRPr="0070654A" w:rsidRDefault="00B17E1F">
            <w:pPr>
              <w:keepNext/>
              <w:tabs>
                <w:tab w:val="left" w:pos="0"/>
                <w:tab w:val="left" w:pos="720"/>
              </w:tabs>
              <w:jc w:val="center"/>
              <w:rPr>
                <w:rStyle w:val="normaltextrun"/>
                <w:rFonts w:cs="Calibri"/>
                <w:sz w:val="18"/>
                <w:szCs w:val="18"/>
              </w:rPr>
            </w:pPr>
            <w:r>
              <w:rPr>
                <w:rStyle w:val="normaltextrun"/>
                <w:rFonts w:cs="Calibri"/>
                <w:sz w:val="18"/>
                <w:szCs w:val="18"/>
              </w:rPr>
              <w:t>Ano</w:t>
            </w:r>
          </w:p>
        </w:tc>
      </w:tr>
    </w:tbl>
    <w:p w14:paraId="700A58F1" w14:textId="77777777" w:rsidR="00B17E1F" w:rsidRDefault="00AF0805">
      <w:pPr>
        <w:sectPr w:rsidR="00B17E1F" w:rsidSect="00B17E1F">
          <w:pgSz w:w="16838" w:h="11906" w:orient="landscape"/>
          <w:pgMar w:top="1417" w:right="1417" w:bottom="1417" w:left="1417" w:header="708" w:footer="708" w:gutter="0"/>
          <w:pgNumType w:start="0"/>
          <w:cols w:space="708"/>
          <w:titlePg/>
          <w:docGrid w:linePitch="360"/>
        </w:sectPr>
      </w:pPr>
      <w:r>
        <w:br w:type="page"/>
      </w:r>
    </w:p>
    <w:p w14:paraId="7A559E7A" w14:textId="02281BD4" w:rsidR="00D8608F" w:rsidRPr="00D8608F" w:rsidRDefault="00D8608F" w:rsidP="00B17E1F">
      <w:pPr>
        <w:pStyle w:val="Nadpis1"/>
      </w:pPr>
      <w:r w:rsidRPr="00D8608F">
        <w:lastRenderedPageBreak/>
        <w:t>Řídicí a organizační struktura</w:t>
      </w:r>
    </w:p>
    <w:p w14:paraId="61210DA5" w14:textId="0867549A" w:rsidR="00B979C2" w:rsidRDefault="00B979C2" w:rsidP="00032A5F">
      <w:pPr>
        <w:jc w:val="both"/>
      </w:pPr>
      <w:r w:rsidRPr="00B979C2">
        <w:t xml:space="preserve">Řízení implementace NSVO navazuje na koncepční a institucionální rámec strategie a je nastaveno tak, aby zajistilo koordinovanou realizaci všech strategických cílů. </w:t>
      </w:r>
    </w:p>
    <w:p w14:paraId="41AD9F2A" w14:textId="2E05F46D" w:rsidR="00D8608F" w:rsidRPr="00D8608F" w:rsidRDefault="00D8608F" w:rsidP="00032A5F">
      <w:pPr>
        <w:jc w:val="both"/>
      </w:pPr>
      <w:r w:rsidRPr="00D8608F">
        <w:t xml:space="preserve">Řízení implementace </w:t>
      </w:r>
      <w:r w:rsidR="00175EE9">
        <w:t>z</w:t>
      </w:r>
      <w:r w:rsidRPr="00D8608F">
        <w:t>ahrnuje zejména:</w:t>
      </w:r>
    </w:p>
    <w:p w14:paraId="3CBFD704" w14:textId="2671BD45" w:rsidR="00D8608F" w:rsidRPr="00D8608F" w:rsidRDefault="00D8608F" w:rsidP="00CB25AE">
      <w:pPr>
        <w:pStyle w:val="Odstavecseseznamem"/>
        <w:numPr>
          <w:ilvl w:val="0"/>
          <w:numId w:val="10"/>
        </w:numPr>
        <w:jc w:val="both"/>
      </w:pPr>
      <w:r w:rsidRPr="00D8608F">
        <w:t>gesci Ministerstva zdravotnictví ČR</w:t>
      </w:r>
    </w:p>
    <w:p w14:paraId="26A8763E" w14:textId="7476C572" w:rsidR="00D8608F" w:rsidRPr="00D8608F" w:rsidRDefault="00D8608F" w:rsidP="00CB25AE">
      <w:pPr>
        <w:pStyle w:val="Odstavecseseznamem"/>
        <w:numPr>
          <w:ilvl w:val="0"/>
          <w:numId w:val="10"/>
        </w:numPr>
        <w:jc w:val="both"/>
      </w:pPr>
      <w:r w:rsidRPr="00D8608F">
        <w:t>zapojení meziresortních partnerů a relevantních institucí</w:t>
      </w:r>
    </w:p>
    <w:p w14:paraId="27CCEE6F" w14:textId="6B17F105" w:rsidR="00D8608F" w:rsidRPr="00D8608F" w:rsidRDefault="00D8608F" w:rsidP="00CB25AE">
      <w:pPr>
        <w:pStyle w:val="Odstavecseseznamem"/>
        <w:numPr>
          <w:ilvl w:val="0"/>
          <w:numId w:val="10"/>
        </w:numPr>
        <w:jc w:val="both"/>
      </w:pPr>
      <w:r>
        <w:t xml:space="preserve">odborné a poradní struktury včetně </w:t>
      </w:r>
      <w:r w:rsidR="609D57B3">
        <w:t xml:space="preserve">možnosti </w:t>
      </w:r>
      <w:r>
        <w:t>zapojení pacientských organizací</w:t>
      </w:r>
    </w:p>
    <w:p w14:paraId="5A44565F" w14:textId="77777777" w:rsidR="00400B88" w:rsidRDefault="00400B88" w:rsidP="00032A5F">
      <w:pPr>
        <w:jc w:val="both"/>
      </w:pPr>
    </w:p>
    <w:p w14:paraId="69470C9A" w14:textId="3908775A" w:rsidR="00400B88" w:rsidRPr="00400B88" w:rsidRDefault="00400B88" w:rsidP="006A1B40">
      <w:pPr>
        <w:pStyle w:val="Nadpis2"/>
      </w:pPr>
      <w:r w:rsidRPr="00400B88">
        <w:t>Gestorství a odpovědnost za implementaci</w:t>
      </w:r>
    </w:p>
    <w:p w14:paraId="65BB6AFA" w14:textId="1C13942D" w:rsidR="00400B88" w:rsidRPr="00400B88" w:rsidRDefault="0BB0BC6C" w:rsidP="00A309C0">
      <w:pPr>
        <w:jc w:val="both"/>
      </w:pPr>
      <w:r>
        <w:t xml:space="preserve">Hlavním gestorem implementace </w:t>
      </w:r>
      <w:r w:rsidR="09CDCF7D">
        <w:t xml:space="preserve">NSVO </w:t>
      </w:r>
      <w:r>
        <w:t xml:space="preserve">je </w:t>
      </w:r>
      <w:r w:rsidRPr="5BF5182F">
        <w:rPr>
          <w:b/>
          <w:bCs/>
        </w:rPr>
        <w:t>Ministerstvo zdravotnictví České republiky (MZ</w:t>
      </w:r>
      <w:r w:rsidR="6F17B6D4" w:rsidRPr="5BF5182F">
        <w:rPr>
          <w:b/>
          <w:bCs/>
        </w:rPr>
        <w:t>D</w:t>
      </w:r>
      <w:r w:rsidRPr="5BF5182F">
        <w:rPr>
          <w:b/>
          <w:bCs/>
        </w:rPr>
        <w:t>)</w:t>
      </w:r>
      <w:r>
        <w:t>, které odpovídá za:</w:t>
      </w:r>
    </w:p>
    <w:p w14:paraId="6203DC66" w14:textId="7B994AF0" w:rsidR="00400B88" w:rsidRPr="00400B88" w:rsidRDefault="00400B88" w:rsidP="00CB25AE">
      <w:pPr>
        <w:pStyle w:val="Odstavecseseznamem"/>
        <w:numPr>
          <w:ilvl w:val="0"/>
          <w:numId w:val="11"/>
        </w:numPr>
        <w:jc w:val="both"/>
      </w:pPr>
      <w:r w:rsidRPr="00400B88">
        <w:t>celkové řízení a koordinaci realizace</w:t>
      </w:r>
    </w:p>
    <w:p w14:paraId="16347E5B" w14:textId="52BAC17B" w:rsidR="00400B88" w:rsidRPr="00400B88" w:rsidRDefault="0BB0BC6C" w:rsidP="00CB25AE">
      <w:pPr>
        <w:pStyle w:val="Odstavecseseznamem"/>
        <w:numPr>
          <w:ilvl w:val="0"/>
          <w:numId w:val="11"/>
        </w:numPr>
        <w:jc w:val="both"/>
      </w:pPr>
      <w:r>
        <w:t>zajištění souladu implementačních aktivit</w:t>
      </w:r>
      <w:r w:rsidR="2850819B">
        <w:t xml:space="preserve"> </w:t>
      </w:r>
      <w:r>
        <w:t xml:space="preserve">NSVO </w:t>
      </w:r>
      <w:r w:rsidR="6837471E">
        <w:t xml:space="preserve">s </w:t>
      </w:r>
      <w:r>
        <w:t>dalšími strategickými dokumenty</w:t>
      </w:r>
    </w:p>
    <w:p w14:paraId="76E01B42" w14:textId="099A905F" w:rsidR="00400B88" w:rsidRPr="00400B88" w:rsidRDefault="00400B88" w:rsidP="00CB25AE">
      <w:pPr>
        <w:pStyle w:val="Odstavecseseznamem"/>
        <w:numPr>
          <w:ilvl w:val="0"/>
          <w:numId w:val="11"/>
        </w:numPr>
        <w:jc w:val="both"/>
      </w:pPr>
      <w:r w:rsidRPr="00400B88">
        <w:t>průběžný monitoring a vyhodnocování plnění stanovených opatření a indikátorů</w:t>
      </w:r>
    </w:p>
    <w:p w14:paraId="45661160" w14:textId="6F3BBEE4" w:rsidR="00400B88" w:rsidRPr="00400B88" w:rsidRDefault="00400B88" w:rsidP="00032A5F">
      <w:pPr>
        <w:jc w:val="both"/>
      </w:pPr>
    </w:p>
    <w:p w14:paraId="77B55EB2" w14:textId="18F00644" w:rsidR="00400B88" w:rsidRPr="00400B88" w:rsidRDefault="00400B88" w:rsidP="00032A5F">
      <w:pPr>
        <w:jc w:val="both"/>
        <w:rPr>
          <w:b/>
          <w:bCs/>
        </w:rPr>
      </w:pPr>
      <w:r w:rsidRPr="00400B88">
        <w:rPr>
          <w:b/>
          <w:bCs/>
        </w:rPr>
        <w:t>Zapojení meziresortních partnerů a relevantních institucí</w:t>
      </w:r>
    </w:p>
    <w:p w14:paraId="03919033" w14:textId="3372184A" w:rsidR="0054002B" w:rsidRDefault="1B14D6E4" w:rsidP="0054002B">
      <w:pPr>
        <w:jc w:val="both"/>
      </w:pPr>
      <w:r>
        <w:t xml:space="preserve">Vzhledem k průřezovému charakteru problematiky VO a jejich dopadům </w:t>
      </w:r>
      <w:r w:rsidR="53F84C33">
        <w:t xml:space="preserve">zejména </w:t>
      </w:r>
      <w:r>
        <w:t xml:space="preserve">do zdravotní, sociální, vzdělávací i výzkumné oblasti je implementace NSVO realizována v úzké spolupráci </w:t>
      </w:r>
      <w:r w:rsidR="65C64BEF">
        <w:t xml:space="preserve">      </w:t>
      </w:r>
      <w:r w:rsidR="00644157">
        <w:t xml:space="preserve">      </w:t>
      </w:r>
      <w:r w:rsidR="65C64BEF">
        <w:t xml:space="preserve"> </w:t>
      </w:r>
      <w:r>
        <w:t xml:space="preserve">s dalšími resorty a institucemi, orgány veřejné správy, zdravotními pojišťovnami, </w:t>
      </w:r>
      <w:r w:rsidR="4AC434A8">
        <w:t xml:space="preserve">odbornými společnostmi, </w:t>
      </w:r>
      <w:r>
        <w:t>kraji a dalšími relevantními aktéry na regionální i národní úrovni.</w:t>
      </w:r>
    </w:p>
    <w:p w14:paraId="0255A3D0" w14:textId="06BFD63D" w:rsidR="0054002B" w:rsidRDefault="1B14D6E4" w:rsidP="0054002B">
      <w:pPr>
        <w:jc w:val="both"/>
      </w:pPr>
      <w:r>
        <w:t>Meziresortní spolupráce je nezbytným předpokladem naplňování všech strategických cílů NSVO. Uplatňuje se jak při zajištění dostupné a kvalitní zdravotní péče, rozvoji koordinace</w:t>
      </w:r>
      <w:r w:rsidR="57EE4BFE">
        <w:t xml:space="preserve">             </w:t>
      </w:r>
      <w:r w:rsidR="00644157">
        <w:t xml:space="preserve">                             </w:t>
      </w:r>
      <w:r>
        <w:t>a propojení zdravotních a sociálních služeb, tak při vzdělávání odborníků, zvyšování informovanosti veřejnosti či budování datové infrastruktury.</w:t>
      </w:r>
    </w:p>
    <w:p w14:paraId="7CAC612B" w14:textId="77777777" w:rsidR="00E44A35" w:rsidRPr="00E44A35" w:rsidRDefault="00E44A35" w:rsidP="0054002B">
      <w:pPr>
        <w:jc w:val="both"/>
        <w:rPr>
          <w:b/>
          <w:bCs/>
        </w:rPr>
      </w:pPr>
      <w:r w:rsidRPr="00E44A35">
        <w:rPr>
          <w:b/>
          <w:bCs/>
        </w:rPr>
        <w:t>Gestorství a spolupracující subjekty</w:t>
      </w:r>
    </w:p>
    <w:p w14:paraId="45274516" w14:textId="7AFC82D6" w:rsidR="00E44A35" w:rsidRDefault="59BEC3AB" w:rsidP="0054002B">
      <w:pPr>
        <w:jc w:val="both"/>
      </w:pPr>
      <w:r>
        <w:t>V rámci implementace NSVO jsou rozlišovány role gestora a spolupracujících subjektů. Gestor představuje hlavního nositele odpovědnosti za realizaci opatření v dané oblasti, včetně koordinace zapojených aktérů. Spolupracující subjekty se na implementaci podílejí v rozsahu svých kompetencí, zejména formou odborné, metodické či realizační podpory a spolupráce při naplňování jednotlivých opatření.</w:t>
      </w:r>
      <w:r w:rsidR="0AE0C1D6">
        <w:t xml:space="preserve"> </w:t>
      </w:r>
    </w:p>
    <w:p w14:paraId="005749A2" w14:textId="08DB66AB" w:rsidR="00400B88" w:rsidRPr="00400B88" w:rsidRDefault="00400B88" w:rsidP="00032A5F">
      <w:pPr>
        <w:jc w:val="both"/>
      </w:pPr>
    </w:p>
    <w:p w14:paraId="174A6E0A" w14:textId="69519293" w:rsidR="00032A5F" w:rsidRPr="00032A5F" w:rsidRDefault="00032A5F" w:rsidP="006A1B40">
      <w:pPr>
        <w:pStyle w:val="Nadpis2"/>
      </w:pPr>
      <w:r>
        <w:t>Zapojení</w:t>
      </w:r>
      <w:r w:rsidR="00EC3757">
        <w:t xml:space="preserve"> všech aktérů a</w:t>
      </w:r>
      <w:r w:rsidR="0058627B">
        <w:t xml:space="preserve"> role</w:t>
      </w:r>
      <w:r>
        <w:t xml:space="preserve"> Mezioborové komise pro vzácná onemocnění </w:t>
      </w:r>
    </w:p>
    <w:p w14:paraId="3D5F1BCA" w14:textId="3DDF0C6A" w:rsidR="00EC3757" w:rsidRDefault="760FDF3E" w:rsidP="00EC3757">
      <w:pPr>
        <w:jc w:val="both"/>
      </w:pPr>
      <w:r>
        <w:t xml:space="preserve">Implementace NSVO je vzhledem k průřezovému charakteru problematiky VO realizována </w:t>
      </w:r>
      <w:r w:rsidR="3C0196FD">
        <w:t xml:space="preserve">            </w:t>
      </w:r>
      <w:r w:rsidR="00644157">
        <w:t xml:space="preserve">        </w:t>
      </w:r>
      <w:r w:rsidR="3C0196FD">
        <w:t xml:space="preserve"> </w:t>
      </w:r>
      <w:r>
        <w:t xml:space="preserve">v úzké spolupráci napříč zdravotním, sociálním, vzdělávacím </w:t>
      </w:r>
      <w:r w:rsidR="2D33331D">
        <w:t>i</w:t>
      </w:r>
      <w:r>
        <w:t xml:space="preserve"> výzkumným sektorem.</w:t>
      </w:r>
    </w:p>
    <w:p w14:paraId="6AB2E0DC" w14:textId="05320621" w:rsidR="00EC3757" w:rsidRDefault="760FDF3E" w:rsidP="00EC3757">
      <w:pPr>
        <w:jc w:val="both"/>
      </w:pPr>
      <w:r>
        <w:lastRenderedPageBreak/>
        <w:t>Do implementace jsou zapojeny zejména</w:t>
      </w:r>
      <w:r w:rsidR="2D33331D">
        <w:t xml:space="preserve"> </w:t>
      </w:r>
      <w:r>
        <w:t xml:space="preserve">orgány veřejné </w:t>
      </w:r>
      <w:r w:rsidR="2D33331D">
        <w:t xml:space="preserve">i státní </w:t>
      </w:r>
      <w:r>
        <w:t>správy a územní samosprávy, zdravotní pojišťovny, poskytovatelé zdravotních a sociálních služeb, odborné společnosti, akademická sféra a pacientské organizace. Meziresortní spolupráce je nezbytným předpokladem naplňování všech strategických cílů NSVO, zejména při zajištění provázanosti zdravotní a sociální péče, rozvoji odborných kapacit, vzdělávání, zvyšování informovanosti</w:t>
      </w:r>
      <w:r w:rsidR="00644157">
        <w:t xml:space="preserve"> </w:t>
      </w:r>
      <w:r>
        <w:t>a budování datové infrastruktury.</w:t>
      </w:r>
    </w:p>
    <w:p w14:paraId="538BE74C" w14:textId="17A5A05E" w:rsidR="003434B5" w:rsidRDefault="00EC3757" w:rsidP="00EC3757">
      <w:pPr>
        <w:jc w:val="both"/>
      </w:pPr>
      <w:r>
        <w:t xml:space="preserve">Koordinace zapojení </w:t>
      </w:r>
      <w:r w:rsidR="002A0979">
        <w:t xml:space="preserve">všech </w:t>
      </w:r>
      <w:r>
        <w:t xml:space="preserve">těchto aktérů a odborné řízení implementace NSVO jsou soustředěny do </w:t>
      </w:r>
      <w:r w:rsidRPr="034C28CC">
        <w:rPr>
          <w:b/>
          <w:bCs/>
        </w:rPr>
        <w:t>Mezioborové komise pro vzácná onemocnění</w:t>
      </w:r>
      <w:r>
        <w:t xml:space="preserve"> (</w:t>
      </w:r>
      <w:r w:rsidR="20AB4B58">
        <w:t>dál jen “</w:t>
      </w:r>
      <w:r>
        <w:t>MEKOVO</w:t>
      </w:r>
      <w:r w:rsidR="0FFB8311">
        <w:t>”</w:t>
      </w:r>
      <w:r>
        <w:t xml:space="preserve">), která je poradním orgánem </w:t>
      </w:r>
      <w:r w:rsidR="00ED7852">
        <w:t>MZD</w:t>
      </w:r>
      <w:r>
        <w:t xml:space="preserve"> a současně plní roli </w:t>
      </w:r>
      <w:r w:rsidR="00ED7852" w:rsidRPr="034C28CC">
        <w:rPr>
          <w:b/>
          <w:bCs/>
        </w:rPr>
        <w:t>Národní rady pro implementaci NSVO</w:t>
      </w:r>
      <w:r>
        <w:t>.</w:t>
      </w:r>
    </w:p>
    <w:p w14:paraId="048374DF" w14:textId="29C85BF4" w:rsidR="034C28CC" w:rsidRDefault="034C28CC" w:rsidP="034C28CC">
      <w:pPr>
        <w:jc w:val="both"/>
        <w:rPr>
          <w:b/>
          <w:bCs/>
        </w:rPr>
      </w:pPr>
    </w:p>
    <w:p w14:paraId="2036FDFA" w14:textId="77777777" w:rsidR="002A0979" w:rsidRPr="002A0979" w:rsidRDefault="002A0979" w:rsidP="00ED7852">
      <w:pPr>
        <w:jc w:val="both"/>
        <w:rPr>
          <w:b/>
          <w:bCs/>
        </w:rPr>
      </w:pPr>
      <w:r w:rsidRPr="002A0979">
        <w:rPr>
          <w:b/>
          <w:bCs/>
        </w:rPr>
        <w:t>MEKOVO</w:t>
      </w:r>
    </w:p>
    <w:p w14:paraId="74FB7AA6" w14:textId="6F67F7FB" w:rsidR="00ED7852" w:rsidRPr="00032A5F" w:rsidRDefault="760FDF3E" w:rsidP="00ED7852">
      <w:pPr>
        <w:jc w:val="both"/>
      </w:pPr>
      <w:r>
        <w:t xml:space="preserve">MEKOVO sdružuje zástupce </w:t>
      </w:r>
      <w:r w:rsidR="2533AD6F">
        <w:t>MZD</w:t>
      </w:r>
      <w:r>
        <w:t>, odborných společností, poskytovatelů zdravotních služeb, zdravotních pojišťoven, akademické sféry a pacientských organizací, včetně odborných garantů jednotlivých oblastí</w:t>
      </w:r>
      <w:r w:rsidR="2533AD6F">
        <w:t xml:space="preserve"> a vytváří platformu pro odborný dialog a koordinaci klíčových aktérů</w:t>
      </w:r>
      <w:r w:rsidR="7203871C">
        <w:t xml:space="preserve">                 </w:t>
      </w:r>
      <w:r w:rsidR="00644157">
        <w:t xml:space="preserve">            </w:t>
      </w:r>
      <w:r w:rsidR="2533AD6F">
        <w:t>v oblasti péče o pacienty s VO.</w:t>
      </w:r>
    </w:p>
    <w:p w14:paraId="203A80E8" w14:textId="5F5BFCE8" w:rsidR="00EC3757" w:rsidRDefault="00EC3757" w:rsidP="00EC3757">
      <w:pPr>
        <w:jc w:val="both"/>
      </w:pPr>
      <w:r>
        <w:t xml:space="preserve">V rámci své činnosti </w:t>
      </w:r>
      <w:r w:rsidR="00ED7852">
        <w:t xml:space="preserve">MEKOVO </w:t>
      </w:r>
      <w:r>
        <w:t>zajišťuje odborné a metodické zázemí implementace NSVO</w:t>
      </w:r>
      <w:r w:rsidR="00815D93">
        <w:t xml:space="preserve"> a dle oficiálního statutu pracuje zejména na těchto bodech:</w:t>
      </w:r>
    </w:p>
    <w:p w14:paraId="3FAAF957" w14:textId="17B3029C" w:rsidR="00815D93" w:rsidRPr="00815D93" w:rsidRDefault="00815D93" w:rsidP="00CB25AE">
      <w:pPr>
        <w:pStyle w:val="Zkladntext1"/>
        <w:numPr>
          <w:ilvl w:val="0"/>
          <w:numId w:val="19"/>
        </w:numPr>
        <w:tabs>
          <w:tab w:val="left" w:pos="1116"/>
          <w:tab w:val="left" w:pos="1122"/>
        </w:tabs>
        <w:spacing w:after="0" w:line="300" w:lineRule="exact"/>
        <w:ind w:left="924" w:right="697" w:hanging="357"/>
        <w:jc w:val="both"/>
        <w:rPr>
          <w:rFonts w:ascii="Aptos" w:eastAsiaTheme="minorHAnsi" w:hAnsi="Aptos" w:cstheme="minorBidi"/>
          <w:color w:val="002060"/>
        </w:rPr>
      </w:pPr>
      <w:r w:rsidRPr="00815D93">
        <w:rPr>
          <w:rFonts w:ascii="Aptos" w:eastAsiaTheme="minorHAnsi" w:hAnsi="Aptos" w:cstheme="minorBidi"/>
          <w:color w:val="002060"/>
        </w:rPr>
        <w:t xml:space="preserve">Koordinuje realizaci opatření vedoucích k naplnění cílů </w:t>
      </w:r>
      <w:r>
        <w:rPr>
          <w:rFonts w:ascii="Aptos" w:eastAsiaTheme="minorHAnsi" w:hAnsi="Aptos" w:cstheme="minorBidi"/>
          <w:color w:val="002060"/>
        </w:rPr>
        <w:t>NSVO</w:t>
      </w:r>
      <w:r w:rsidRPr="00815D93">
        <w:rPr>
          <w:rFonts w:ascii="Aptos" w:eastAsiaTheme="minorHAnsi" w:hAnsi="Aptos" w:cstheme="minorBidi"/>
          <w:color w:val="002060"/>
        </w:rPr>
        <w:t>.</w:t>
      </w:r>
    </w:p>
    <w:p w14:paraId="1D2C5167" w14:textId="77777777" w:rsidR="00815D93" w:rsidRPr="00815D93" w:rsidRDefault="00815D93" w:rsidP="00CB25AE">
      <w:pPr>
        <w:pStyle w:val="Zkladntext1"/>
        <w:numPr>
          <w:ilvl w:val="0"/>
          <w:numId w:val="19"/>
        </w:numPr>
        <w:tabs>
          <w:tab w:val="left" w:pos="1116"/>
          <w:tab w:val="left" w:pos="1122"/>
        </w:tabs>
        <w:spacing w:after="0" w:line="300" w:lineRule="exact"/>
        <w:ind w:left="924" w:right="697" w:hanging="357"/>
        <w:jc w:val="both"/>
        <w:rPr>
          <w:rFonts w:ascii="Aptos" w:eastAsiaTheme="minorHAnsi" w:hAnsi="Aptos" w:cstheme="minorBidi"/>
          <w:color w:val="002060"/>
        </w:rPr>
      </w:pPr>
      <w:r w:rsidRPr="00815D93">
        <w:rPr>
          <w:rFonts w:ascii="Aptos" w:eastAsiaTheme="minorHAnsi" w:hAnsi="Aptos" w:cstheme="minorBidi"/>
          <w:color w:val="002060"/>
        </w:rPr>
        <w:t>Zajišťuje informování odborné obce a zainteresovaných stran.</w:t>
      </w:r>
    </w:p>
    <w:p w14:paraId="483BAB3E" w14:textId="07AC6331" w:rsidR="00815D93" w:rsidRPr="00815D93" w:rsidRDefault="00815D93" w:rsidP="00CB25AE">
      <w:pPr>
        <w:pStyle w:val="Zkladntext1"/>
        <w:numPr>
          <w:ilvl w:val="0"/>
          <w:numId w:val="19"/>
        </w:numPr>
        <w:tabs>
          <w:tab w:val="left" w:pos="1116"/>
          <w:tab w:val="left" w:pos="1122"/>
        </w:tabs>
        <w:spacing w:after="0" w:line="300" w:lineRule="exact"/>
        <w:ind w:left="924" w:right="697" w:hanging="357"/>
        <w:jc w:val="both"/>
        <w:rPr>
          <w:rFonts w:ascii="Aptos" w:eastAsiaTheme="minorHAnsi" w:hAnsi="Aptos" w:cstheme="minorBidi"/>
          <w:color w:val="002060"/>
        </w:rPr>
      </w:pPr>
      <w:r w:rsidRPr="00815D93">
        <w:rPr>
          <w:rFonts w:ascii="Aptos" w:eastAsiaTheme="minorHAnsi" w:hAnsi="Aptos" w:cstheme="minorBidi"/>
          <w:color w:val="002060"/>
        </w:rPr>
        <w:t xml:space="preserve">Podporuje participaci zainteresovaných stran při realizaci </w:t>
      </w:r>
      <w:r>
        <w:rPr>
          <w:rFonts w:ascii="Aptos" w:eastAsiaTheme="minorHAnsi" w:hAnsi="Aptos" w:cstheme="minorBidi"/>
          <w:color w:val="002060"/>
        </w:rPr>
        <w:t>NSVO</w:t>
      </w:r>
      <w:r w:rsidRPr="00815D93">
        <w:rPr>
          <w:rFonts w:ascii="Aptos" w:eastAsiaTheme="minorHAnsi" w:hAnsi="Aptos" w:cstheme="minorBidi"/>
          <w:color w:val="002060"/>
        </w:rPr>
        <w:t>.</w:t>
      </w:r>
    </w:p>
    <w:p w14:paraId="342546A9" w14:textId="255B75B3" w:rsidR="00815D93" w:rsidRPr="00815D93" w:rsidRDefault="00815D93" w:rsidP="00CB25AE">
      <w:pPr>
        <w:pStyle w:val="Zkladntext1"/>
        <w:numPr>
          <w:ilvl w:val="0"/>
          <w:numId w:val="19"/>
        </w:numPr>
        <w:tabs>
          <w:tab w:val="left" w:pos="1116"/>
          <w:tab w:val="left" w:pos="1122"/>
        </w:tabs>
        <w:spacing w:after="0" w:line="300" w:lineRule="exact"/>
        <w:ind w:left="924" w:right="697" w:hanging="357"/>
        <w:jc w:val="both"/>
        <w:rPr>
          <w:rFonts w:ascii="Aptos" w:eastAsiaTheme="minorHAnsi" w:hAnsi="Aptos" w:cstheme="minorBidi"/>
          <w:color w:val="002060"/>
        </w:rPr>
      </w:pPr>
      <w:r w:rsidRPr="00815D93">
        <w:rPr>
          <w:rFonts w:ascii="Aptos" w:eastAsiaTheme="minorHAnsi" w:hAnsi="Aptos" w:cstheme="minorBidi"/>
          <w:color w:val="002060"/>
        </w:rPr>
        <w:t xml:space="preserve">Podílí se na přípravě Implementačních plánů </w:t>
      </w:r>
      <w:r>
        <w:rPr>
          <w:rFonts w:ascii="Aptos" w:eastAsiaTheme="minorHAnsi" w:hAnsi="Aptos" w:cstheme="minorBidi"/>
          <w:color w:val="002060"/>
        </w:rPr>
        <w:t>NSVO</w:t>
      </w:r>
      <w:r w:rsidRPr="00815D93">
        <w:rPr>
          <w:rFonts w:ascii="Aptos" w:eastAsiaTheme="minorHAnsi" w:hAnsi="Aptos" w:cstheme="minorBidi"/>
          <w:color w:val="002060"/>
        </w:rPr>
        <w:t>.</w:t>
      </w:r>
    </w:p>
    <w:p w14:paraId="151492C5" w14:textId="77777777" w:rsidR="00815D93" w:rsidRPr="00815D93" w:rsidRDefault="00815D93" w:rsidP="00CB25AE">
      <w:pPr>
        <w:pStyle w:val="Zkladntext1"/>
        <w:numPr>
          <w:ilvl w:val="0"/>
          <w:numId w:val="19"/>
        </w:numPr>
        <w:tabs>
          <w:tab w:val="left" w:pos="1116"/>
          <w:tab w:val="left" w:pos="1122"/>
        </w:tabs>
        <w:spacing w:after="0" w:line="300" w:lineRule="exact"/>
        <w:ind w:left="924" w:right="697" w:hanging="357"/>
        <w:jc w:val="both"/>
        <w:rPr>
          <w:rFonts w:ascii="Aptos" w:eastAsiaTheme="minorHAnsi" w:hAnsi="Aptos" w:cstheme="minorBidi"/>
          <w:color w:val="002060"/>
        </w:rPr>
      </w:pPr>
      <w:r w:rsidRPr="00815D93">
        <w:rPr>
          <w:rFonts w:ascii="Aptos" w:eastAsiaTheme="minorHAnsi" w:hAnsi="Aptos" w:cstheme="minorBidi"/>
          <w:color w:val="002060"/>
        </w:rPr>
        <w:t>Podílí se na vyhodnocování průběhu implementace.</w:t>
      </w:r>
    </w:p>
    <w:p w14:paraId="514F4D15" w14:textId="77777777" w:rsidR="00815D93" w:rsidRPr="00815D93" w:rsidRDefault="00815D93" w:rsidP="00CB25AE">
      <w:pPr>
        <w:pStyle w:val="Zkladntext1"/>
        <w:numPr>
          <w:ilvl w:val="0"/>
          <w:numId w:val="19"/>
        </w:numPr>
        <w:tabs>
          <w:tab w:val="left" w:pos="1116"/>
          <w:tab w:val="left" w:pos="1122"/>
        </w:tabs>
        <w:spacing w:after="0" w:line="300" w:lineRule="exact"/>
        <w:ind w:left="924" w:right="697" w:hanging="357"/>
        <w:jc w:val="both"/>
        <w:rPr>
          <w:rFonts w:ascii="Aptos" w:eastAsiaTheme="minorHAnsi" w:hAnsi="Aptos" w:cstheme="minorBidi"/>
          <w:color w:val="002060"/>
        </w:rPr>
      </w:pPr>
      <w:r w:rsidRPr="00815D93">
        <w:rPr>
          <w:rFonts w:ascii="Aptos" w:eastAsiaTheme="minorHAnsi" w:hAnsi="Aptos" w:cstheme="minorBidi"/>
          <w:color w:val="002060"/>
        </w:rPr>
        <w:t>Navrhuje aktualizaci Implementačních plánů v reakci na vývoj v dané oblasti.</w:t>
      </w:r>
    </w:p>
    <w:p w14:paraId="6A4CFD56" w14:textId="760AEDF8" w:rsidR="00815D93" w:rsidRPr="00815D93" w:rsidRDefault="00815D93" w:rsidP="00CB25AE">
      <w:pPr>
        <w:pStyle w:val="Zkladntext1"/>
        <w:numPr>
          <w:ilvl w:val="0"/>
          <w:numId w:val="19"/>
        </w:numPr>
        <w:tabs>
          <w:tab w:val="left" w:pos="1116"/>
          <w:tab w:val="left" w:pos="1122"/>
        </w:tabs>
        <w:spacing w:after="0" w:line="300" w:lineRule="exact"/>
        <w:ind w:left="924" w:right="697" w:hanging="357"/>
        <w:jc w:val="both"/>
        <w:rPr>
          <w:rFonts w:ascii="Aptos" w:eastAsiaTheme="minorHAnsi" w:hAnsi="Aptos" w:cstheme="minorBidi"/>
          <w:color w:val="002060"/>
        </w:rPr>
      </w:pPr>
      <w:r w:rsidRPr="00815D93">
        <w:rPr>
          <w:rFonts w:ascii="Aptos" w:eastAsiaTheme="minorHAnsi" w:hAnsi="Aptos" w:cstheme="minorBidi"/>
          <w:color w:val="002060"/>
        </w:rPr>
        <w:t xml:space="preserve">Podílí se na hodnocení dopadů </w:t>
      </w:r>
      <w:r>
        <w:rPr>
          <w:rFonts w:ascii="Aptos" w:eastAsiaTheme="minorHAnsi" w:hAnsi="Aptos" w:cstheme="minorBidi"/>
          <w:color w:val="002060"/>
        </w:rPr>
        <w:t>NSVO</w:t>
      </w:r>
      <w:r w:rsidRPr="00815D93">
        <w:rPr>
          <w:rFonts w:ascii="Aptos" w:eastAsiaTheme="minorHAnsi" w:hAnsi="Aptos" w:cstheme="minorBidi"/>
          <w:color w:val="002060"/>
        </w:rPr>
        <w:t>.</w:t>
      </w:r>
    </w:p>
    <w:p w14:paraId="7F701640" w14:textId="77777777" w:rsidR="00EC3757" w:rsidRDefault="00EC3757" w:rsidP="00EC3757">
      <w:pPr>
        <w:jc w:val="both"/>
      </w:pPr>
    </w:p>
    <w:p w14:paraId="0458A7C6" w14:textId="43353581" w:rsidR="00EC3757" w:rsidRDefault="002A0979" w:rsidP="00EC3757">
      <w:pPr>
        <w:jc w:val="both"/>
      </w:pPr>
      <w:r>
        <w:t>Dále</w:t>
      </w:r>
      <w:r w:rsidR="00EC3757">
        <w:t xml:space="preserve"> se podílí </w:t>
      </w:r>
      <w:r>
        <w:t xml:space="preserve">také </w:t>
      </w:r>
      <w:r w:rsidR="00EC3757">
        <w:t>na:</w:t>
      </w:r>
    </w:p>
    <w:p w14:paraId="63B95D4D" w14:textId="63672522" w:rsidR="00EC3757" w:rsidRDefault="00EC3757" w:rsidP="00CB25AE">
      <w:pPr>
        <w:pStyle w:val="Odstavecseseznamem"/>
        <w:numPr>
          <w:ilvl w:val="0"/>
          <w:numId w:val="20"/>
        </w:numPr>
        <w:spacing w:after="0" w:line="240" w:lineRule="auto"/>
        <w:jc w:val="both"/>
      </w:pPr>
      <w:r>
        <w:t>odborném posuzování navrhovaných opatření a formulaci doporučení k systémovým změnám</w:t>
      </w:r>
    </w:p>
    <w:p w14:paraId="1DEF5694" w14:textId="45D0B73A" w:rsidR="00EC3757" w:rsidRDefault="00EC3757" w:rsidP="00CB25AE">
      <w:pPr>
        <w:pStyle w:val="Odstavecseseznamem"/>
        <w:numPr>
          <w:ilvl w:val="0"/>
          <w:numId w:val="20"/>
        </w:numPr>
        <w:spacing w:after="0" w:line="240" w:lineRule="auto"/>
        <w:jc w:val="both"/>
      </w:pPr>
      <w:r>
        <w:t>posuzování návaznosti zdravotních, sociálních, vzdělávacích a datových opatření</w:t>
      </w:r>
    </w:p>
    <w:p w14:paraId="41FA5A4C" w14:textId="77777777" w:rsidR="00EC3757" w:rsidRDefault="00EC3757" w:rsidP="00EC3757">
      <w:pPr>
        <w:spacing w:after="0" w:line="240" w:lineRule="auto"/>
        <w:jc w:val="both"/>
      </w:pPr>
    </w:p>
    <w:p w14:paraId="740772C5" w14:textId="36F6503C" w:rsidR="00EC3757" w:rsidRDefault="00EC3757" w:rsidP="00EC3757">
      <w:pPr>
        <w:spacing w:after="0" w:line="240" w:lineRule="auto"/>
        <w:jc w:val="both"/>
      </w:pPr>
      <w:r>
        <w:t xml:space="preserve">Současně MEKOVO připravuje pro </w:t>
      </w:r>
      <w:r w:rsidR="002A0979">
        <w:t>MZD</w:t>
      </w:r>
      <w:r>
        <w:t xml:space="preserve"> podklady pro koordinaci činností v rámci Národní sítě center pro vzácná onemocnění, zejména v oblasti:</w:t>
      </w:r>
    </w:p>
    <w:p w14:paraId="4BEE2219" w14:textId="77777777" w:rsidR="00EC3757" w:rsidRDefault="00EC3757" w:rsidP="00EC3757">
      <w:pPr>
        <w:spacing w:after="0" w:line="240" w:lineRule="auto"/>
        <w:jc w:val="both"/>
      </w:pPr>
    </w:p>
    <w:p w14:paraId="6C6957D5" w14:textId="3E8D85CC" w:rsidR="00EC3757" w:rsidRDefault="00EC3757" w:rsidP="00CB25AE">
      <w:pPr>
        <w:pStyle w:val="Odstavecseseznamem"/>
        <w:numPr>
          <w:ilvl w:val="0"/>
          <w:numId w:val="20"/>
        </w:numPr>
        <w:spacing w:after="0" w:line="240" w:lineRule="auto"/>
        <w:jc w:val="both"/>
      </w:pPr>
      <w:r>
        <w:t>zajištění organizační a odborné návaznosti péče, včetně přeshraniční spolupráce</w:t>
      </w:r>
    </w:p>
    <w:p w14:paraId="722CF51D" w14:textId="4B6E5F01" w:rsidR="00EC3757" w:rsidRDefault="00EC3757" w:rsidP="00CB25AE">
      <w:pPr>
        <w:pStyle w:val="Odstavecseseznamem"/>
        <w:numPr>
          <w:ilvl w:val="0"/>
          <w:numId w:val="20"/>
        </w:numPr>
        <w:spacing w:after="0" w:line="240" w:lineRule="auto"/>
        <w:jc w:val="both"/>
      </w:pPr>
      <w:r>
        <w:t>metodického vymezení kompetencí a úkolů jednotlivých poskytovatelů</w:t>
      </w:r>
    </w:p>
    <w:p w14:paraId="20C8469E" w14:textId="1094B960" w:rsidR="00EC3757" w:rsidRDefault="00EC3757" w:rsidP="00CB25AE">
      <w:pPr>
        <w:pStyle w:val="Odstavecseseznamem"/>
        <w:numPr>
          <w:ilvl w:val="0"/>
          <w:numId w:val="20"/>
        </w:numPr>
        <w:spacing w:after="0" w:line="240" w:lineRule="auto"/>
        <w:jc w:val="both"/>
      </w:pPr>
      <w:r>
        <w:t>nastavení požadavků na mezioborovou péči</w:t>
      </w:r>
    </w:p>
    <w:p w14:paraId="3569214F" w14:textId="717CAADA" w:rsidR="00EC3757" w:rsidRDefault="00EC3757" w:rsidP="00CB25AE">
      <w:pPr>
        <w:pStyle w:val="Odstavecseseznamem"/>
        <w:numPr>
          <w:ilvl w:val="0"/>
          <w:numId w:val="20"/>
        </w:numPr>
        <w:spacing w:after="0" w:line="240" w:lineRule="auto"/>
        <w:jc w:val="both"/>
      </w:pPr>
      <w:r>
        <w:t>spolupráce se zdravotními pojišťovnami při nastavování úhrad specializované péče</w:t>
      </w:r>
    </w:p>
    <w:p w14:paraId="69E48C10" w14:textId="77777777" w:rsidR="00EC3757" w:rsidRDefault="00EC3757" w:rsidP="00EC3757">
      <w:pPr>
        <w:pStyle w:val="Odstavecseseznamem"/>
        <w:spacing w:after="0" w:line="240" w:lineRule="auto"/>
        <w:jc w:val="both"/>
      </w:pPr>
    </w:p>
    <w:p w14:paraId="3E452A99" w14:textId="539959A0" w:rsidR="00400B88" w:rsidRPr="00400B88" w:rsidRDefault="760FDF3E" w:rsidP="6A427922">
      <w:pPr>
        <w:spacing w:after="0" w:line="240" w:lineRule="auto"/>
        <w:jc w:val="both"/>
        <w:rPr>
          <w:b/>
          <w:bCs/>
        </w:rPr>
      </w:pPr>
      <w:r>
        <w:t xml:space="preserve">MEKOVO se rovněž podílí na plnění úkolů vyplývajících z mezinárodní spolupráce České republiky v oblasti </w:t>
      </w:r>
      <w:r w:rsidR="2D33331D">
        <w:t>VO</w:t>
      </w:r>
      <w:r>
        <w:t>.</w:t>
      </w:r>
    </w:p>
    <w:p w14:paraId="4C920A96" w14:textId="6D974CE6" w:rsidR="5BF5182F" w:rsidRDefault="5BF5182F" w:rsidP="5BF5182F">
      <w:pPr>
        <w:spacing w:after="0" w:line="240" w:lineRule="auto"/>
        <w:jc w:val="both"/>
      </w:pPr>
    </w:p>
    <w:p w14:paraId="211482FF" w14:textId="65B5BAC7" w:rsidR="034C28CC" w:rsidRDefault="034C28CC" w:rsidP="034C28CC">
      <w:pPr>
        <w:spacing w:after="0" w:line="240" w:lineRule="auto"/>
        <w:jc w:val="both"/>
      </w:pPr>
    </w:p>
    <w:p w14:paraId="4D8C99BF" w14:textId="70922F5D" w:rsidR="034C28CC" w:rsidRDefault="034C28CC" w:rsidP="034C28CC">
      <w:pPr>
        <w:spacing w:after="0" w:line="240" w:lineRule="auto"/>
        <w:jc w:val="both"/>
      </w:pPr>
    </w:p>
    <w:p w14:paraId="607B497C" w14:textId="0AB31FE9" w:rsidR="034C28CC" w:rsidRDefault="034C28CC" w:rsidP="034C28CC">
      <w:pPr>
        <w:spacing w:after="0" w:line="240" w:lineRule="auto"/>
        <w:jc w:val="both"/>
      </w:pPr>
    </w:p>
    <w:p w14:paraId="56771A8F" w14:textId="1AC2733F" w:rsidR="00400B88" w:rsidRPr="00400B88" w:rsidRDefault="00400B88" w:rsidP="6A427922">
      <w:pPr>
        <w:spacing w:after="0" w:line="240" w:lineRule="auto"/>
        <w:jc w:val="both"/>
        <w:rPr>
          <w:b/>
          <w:bCs/>
        </w:rPr>
      </w:pPr>
      <w:r w:rsidRPr="6A427922">
        <w:rPr>
          <w:b/>
          <w:bCs/>
        </w:rPr>
        <w:lastRenderedPageBreak/>
        <w:t>Organizační uspořádání a schéma řízení</w:t>
      </w:r>
    </w:p>
    <w:p w14:paraId="3242C76D" w14:textId="536E5DDB" w:rsidR="00400B88" w:rsidRPr="00400B88" w:rsidRDefault="0BB0BC6C" w:rsidP="034C28CC">
      <w:pPr>
        <w:jc w:val="both"/>
      </w:pPr>
      <w:r>
        <w:t xml:space="preserve">Řídicí a organizační struktura </w:t>
      </w:r>
      <w:r w:rsidR="250EEAAA">
        <w:t xml:space="preserve">NSVO </w:t>
      </w:r>
      <w:r>
        <w:t>je nastavena tak, aby podporovala jasné rozdělení rolí mezi strategickou, metodickou a realizační úroveň a zároveň umožňovala flexibilní reakci na</w:t>
      </w:r>
      <w:r w:rsidR="01F92036">
        <w:t xml:space="preserve"> </w:t>
      </w:r>
      <w:r>
        <w:t>identifikované potřeby v průběhu realizace</w:t>
      </w:r>
      <w:r w:rsidR="250EEAAA">
        <w:t>.</w:t>
      </w:r>
    </w:p>
    <w:p w14:paraId="46E97484" w14:textId="08789BBE" w:rsidR="00400B88" w:rsidRPr="00400B88" w:rsidRDefault="0BB0BC6C" w:rsidP="034C28CC">
      <w:pPr>
        <w:jc w:val="both"/>
      </w:pPr>
      <w:r>
        <w:t xml:space="preserve">Schéma řídicí a organizační struktury implementace </w:t>
      </w:r>
      <w:r w:rsidR="250EEAAA">
        <w:t>NSVO</w:t>
      </w:r>
      <w:r>
        <w:t xml:space="preserve"> je znázorněno v </w:t>
      </w:r>
      <w:r w:rsidRPr="034C28CC">
        <w:rPr>
          <w:b/>
          <w:bCs/>
        </w:rPr>
        <w:t xml:space="preserve">obrázku </w:t>
      </w:r>
      <w:r w:rsidR="250EEAAA" w:rsidRPr="034C28CC">
        <w:rPr>
          <w:b/>
          <w:bCs/>
        </w:rPr>
        <w:t>3</w:t>
      </w:r>
      <w:r>
        <w:t xml:space="preserve">, který ilustruje vazby mezi hlavním gestorem, zapojenými resorty, odbornými a poradními orgány </w:t>
      </w:r>
      <w:r w:rsidR="58AD1106">
        <w:t xml:space="preserve">         </w:t>
      </w:r>
      <w:r w:rsidR="00644157">
        <w:t xml:space="preserve">        </w:t>
      </w:r>
      <w:r w:rsidR="58AD1106">
        <w:t xml:space="preserve">  </w:t>
      </w:r>
      <w:r>
        <w:t>a realizační úrovní péče.</w:t>
      </w:r>
    </w:p>
    <w:p w14:paraId="5ED20649" w14:textId="033A03F5" w:rsidR="00D9130A" w:rsidRPr="00D8608F" w:rsidRDefault="0094520E" w:rsidP="0058627B">
      <w:r>
        <w:rPr>
          <w:noProof/>
        </w:rPr>
        <w:drawing>
          <wp:inline distT="0" distB="0" distL="0" distR="0" wp14:anchorId="2A989B56" wp14:editId="77D9FDC8">
            <wp:extent cx="5829300" cy="3278981"/>
            <wp:effectExtent l="0" t="0" r="0" b="0"/>
            <wp:docPr id="58415116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151166" name="Picture 584151166"/>
                    <pic:cNvPicPr/>
                  </pic:nvPicPr>
                  <pic:blipFill>
                    <a:blip r:embed="rId16">
                      <a:extLst>
                        <a:ext uri="{28A0092B-C50C-407E-A947-70E740481C1C}">
                          <a14:useLocalDpi xmlns:a14="http://schemas.microsoft.com/office/drawing/2010/main"/>
                        </a:ext>
                      </a:extLst>
                    </a:blip>
                    <a:stretch>
                      <a:fillRect/>
                    </a:stretch>
                  </pic:blipFill>
                  <pic:spPr>
                    <a:xfrm>
                      <a:off x="0" y="0"/>
                      <a:ext cx="5833889" cy="3281562"/>
                    </a:xfrm>
                    <a:prstGeom prst="rect">
                      <a:avLst/>
                    </a:prstGeom>
                  </pic:spPr>
                </pic:pic>
              </a:graphicData>
            </a:graphic>
          </wp:inline>
        </w:drawing>
      </w:r>
      <w:r w:rsidR="00F03ECB" w:rsidRPr="78C5DBBA">
        <w:rPr>
          <w:b/>
          <w:bCs/>
          <w:sz w:val="20"/>
          <w:szCs w:val="20"/>
        </w:rPr>
        <w:t xml:space="preserve">Obrázek </w:t>
      </w:r>
      <w:r w:rsidR="00D02E65" w:rsidRPr="78C5DBBA">
        <w:rPr>
          <w:b/>
          <w:bCs/>
          <w:sz w:val="20"/>
          <w:szCs w:val="20"/>
        </w:rPr>
        <w:t>3</w:t>
      </w:r>
      <w:r w:rsidR="00F03ECB" w:rsidRPr="78C5DBBA">
        <w:rPr>
          <w:sz w:val="20"/>
          <w:szCs w:val="20"/>
        </w:rPr>
        <w:t>: Schéma řídicí a organizační struktury</w:t>
      </w:r>
      <w:r w:rsidR="00F03ECB" w:rsidRPr="78C5DBBA">
        <w:rPr>
          <w:b/>
          <w:bCs/>
          <w:sz w:val="20"/>
          <w:szCs w:val="20"/>
        </w:rPr>
        <w:t xml:space="preserve"> </w:t>
      </w:r>
    </w:p>
    <w:p w14:paraId="00505836" w14:textId="7437DBAF" w:rsidR="78C5DBBA" w:rsidRDefault="78C5DBBA" w:rsidP="78C5DBBA">
      <w:pPr>
        <w:rPr>
          <w:b/>
          <w:bCs/>
          <w:sz w:val="20"/>
          <w:szCs w:val="20"/>
        </w:rPr>
      </w:pPr>
    </w:p>
    <w:p w14:paraId="389EE1DA" w14:textId="06B2EDB5" w:rsidR="03C5F8B1" w:rsidRDefault="03C5F8B1" w:rsidP="78C5DBBA">
      <w:pPr>
        <w:rPr>
          <w:b/>
          <w:bCs/>
        </w:rPr>
      </w:pPr>
      <w:r w:rsidRPr="78C5DBBA">
        <w:rPr>
          <w:b/>
          <w:bCs/>
        </w:rPr>
        <w:t xml:space="preserve">Hierarchická struktura prací realizace strategie  </w:t>
      </w:r>
    </w:p>
    <w:tbl>
      <w:tblPr>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single" w:sz="12" w:space="0" w:color="000000" w:themeColor="text1"/>
          <w:insideV w:val="single" w:sz="12" w:space="0" w:color="000000" w:themeColor="text1"/>
        </w:tblBorders>
        <w:tblLook w:val="04A0" w:firstRow="1" w:lastRow="0" w:firstColumn="1" w:lastColumn="0" w:noHBand="0" w:noVBand="1"/>
      </w:tblPr>
      <w:tblGrid>
        <w:gridCol w:w="1948"/>
        <w:gridCol w:w="1952"/>
        <w:gridCol w:w="2377"/>
        <w:gridCol w:w="2795"/>
      </w:tblGrid>
      <w:tr w:rsidR="78C5DBBA" w14:paraId="7CB33FC2" w14:textId="77777777" w:rsidTr="78C5DBBA">
        <w:trPr>
          <w:trHeight w:val="465"/>
        </w:trPr>
        <w:tc>
          <w:tcPr>
            <w:tcW w:w="1965" w:type="dxa"/>
            <w:tcMar>
              <w:top w:w="75" w:type="dxa"/>
              <w:left w:w="75" w:type="dxa"/>
              <w:bottom w:w="75" w:type="dxa"/>
              <w:right w:w="105" w:type="dxa"/>
            </w:tcMar>
            <w:vAlign w:val="center"/>
          </w:tcPr>
          <w:p w14:paraId="21D2A31C" w14:textId="39496635" w:rsidR="78C5DBBA" w:rsidRDefault="78C5DBBA" w:rsidP="78C5DBBA">
            <w:pPr>
              <w:spacing w:after="0" w:line="240" w:lineRule="auto"/>
              <w:jc w:val="center"/>
              <w:rPr>
                <w:rFonts w:eastAsia="Aptos" w:cs="Aptos"/>
                <w:color w:val="153D63"/>
                <w:sz w:val="24"/>
                <w:szCs w:val="24"/>
              </w:rPr>
            </w:pPr>
            <w:r w:rsidRPr="78C5DBBA">
              <w:rPr>
                <w:rFonts w:eastAsia="Aptos" w:cs="Aptos"/>
                <w:b/>
                <w:bCs/>
                <w:color w:val="153D63"/>
                <w:sz w:val="24"/>
                <w:szCs w:val="24"/>
              </w:rPr>
              <w:t>Úroveň</w:t>
            </w:r>
          </w:p>
        </w:tc>
        <w:tc>
          <w:tcPr>
            <w:tcW w:w="1980" w:type="dxa"/>
            <w:tcMar>
              <w:top w:w="75" w:type="dxa"/>
              <w:left w:w="75" w:type="dxa"/>
              <w:bottom w:w="75" w:type="dxa"/>
              <w:right w:w="105" w:type="dxa"/>
            </w:tcMar>
            <w:vAlign w:val="center"/>
          </w:tcPr>
          <w:p w14:paraId="4A62BA6E" w14:textId="1AFD1651" w:rsidR="78C5DBBA" w:rsidRDefault="78C5DBBA" w:rsidP="78C5DBBA">
            <w:pPr>
              <w:spacing w:after="0" w:line="240" w:lineRule="auto"/>
              <w:jc w:val="center"/>
              <w:rPr>
                <w:rFonts w:eastAsia="Aptos" w:cs="Aptos"/>
                <w:color w:val="153D63"/>
                <w:sz w:val="24"/>
                <w:szCs w:val="24"/>
              </w:rPr>
            </w:pPr>
            <w:r w:rsidRPr="78C5DBBA">
              <w:rPr>
                <w:rFonts w:eastAsia="Aptos" w:cs="Aptos"/>
                <w:b/>
                <w:bCs/>
                <w:color w:val="153D63"/>
                <w:sz w:val="24"/>
                <w:szCs w:val="24"/>
              </w:rPr>
              <w:t>Hlavní aktéři</w:t>
            </w:r>
          </w:p>
        </w:tc>
        <w:tc>
          <w:tcPr>
            <w:tcW w:w="2400" w:type="dxa"/>
            <w:tcMar>
              <w:top w:w="75" w:type="dxa"/>
              <w:left w:w="75" w:type="dxa"/>
              <w:bottom w:w="75" w:type="dxa"/>
              <w:right w:w="105" w:type="dxa"/>
            </w:tcMar>
            <w:vAlign w:val="center"/>
          </w:tcPr>
          <w:p w14:paraId="4EBA9765" w14:textId="78FCAAF3" w:rsidR="78C5DBBA" w:rsidRDefault="78C5DBBA" w:rsidP="78C5DBBA">
            <w:pPr>
              <w:spacing w:after="0" w:line="240" w:lineRule="auto"/>
              <w:jc w:val="center"/>
              <w:rPr>
                <w:rFonts w:eastAsia="Aptos" w:cs="Aptos"/>
                <w:color w:val="153D63"/>
                <w:sz w:val="24"/>
                <w:szCs w:val="24"/>
              </w:rPr>
            </w:pPr>
            <w:r w:rsidRPr="78C5DBBA">
              <w:rPr>
                <w:rFonts w:eastAsia="Aptos" w:cs="Aptos"/>
                <w:b/>
                <w:bCs/>
                <w:color w:val="153D63"/>
                <w:sz w:val="24"/>
                <w:szCs w:val="24"/>
              </w:rPr>
              <w:t>Výstupy</w:t>
            </w:r>
          </w:p>
        </w:tc>
        <w:tc>
          <w:tcPr>
            <w:tcW w:w="2835" w:type="dxa"/>
            <w:tcMar>
              <w:top w:w="75" w:type="dxa"/>
              <w:left w:w="75" w:type="dxa"/>
              <w:bottom w:w="75" w:type="dxa"/>
              <w:right w:w="105" w:type="dxa"/>
            </w:tcMar>
            <w:vAlign w:val="center"/>
          </w:tcPr>
          <w:p w14:paraId="039BE879" w14:textId="215C681B" w:rsidR="78C5DBBA" w:rsidRDefault="78C5DBBA" w:rsidP="78C5DBBA">
            <w:pPr>
              <w:spacing w:after="0" w:line="240" w:lineRule="auto"/>
              <w:jc w:val="center"/>
              <w:rPr>
                <w:rFonts w:eastAsia="Aptos" w:cs="Aptos"/>
                <w:color w:val="153D63"/>
                <w:sz w:val="24"/>
                <w:szCs w:val="24"/>
              </w:rPr>
            </w:pPr>
            <w:r w:rsidRPr="78C5DBBA">
              <w:rPr>
                <w:rFonts w:eastAsia="Aptos" w:cs="Aptos"/>
                <w:b/>
                <w:bCs/>
                <w:color w:val="153D63"/>
                <w:sz w:val="24"/>
                <w:szCs w:val="24"/>
              </w:rPr>
              <w:t>Pracovní rovina</w:t>
            </w:r>
          </w:p>
        </w:tc>
      </w:tr>
      <w:tr w:rsidR="78C5DBBA" w14:paraId="6CFEB4A4" w14:textId="77777777" w:rsidTr="78C5DBBA">
        <w:trPr>
          <w:trHeight w:val="1815"/>
        </w:trPr>
        <w:tc>
          <w:tcPr>
            <w:tcW w:w="1965" w:type="dxa"/>
            <w:tcMar>
              <w:top w:w="75" w:type="dxa"/>
              <w:left w:w="75" w:type="dxa"/>
              <w:bottom w:w="75" w:type="dxa"/>
              <w:right w:w="105" w:type="dxa"/>
            </w:tcMar>
            <w:vAlign w:val="center"/>
          </w:tcPr>
          <w:p w14:paraId="6E874497" w14:textId="1E9EEB52" w:rsidR="78C5DBBA" w:rsidRDefault="78C5DBBA" w:rsidP="78C5DBBA">
            <w:pPr>
              <w:spacing w:after="0" w:line="240" w:lineRule="auto"/>
              <w:jc w:val="center"/>
              <w:rPr>
                <w:rFonts w:eastAsia="Aptos" w:cs="Aptos"/>
                <w:color w:val="153D63"/>
                <w:sz w:val="20"/>
                <w:szCs w:val="20"/>
              </w:rPr>
            </w:pPr>
            <w:r w:rsidRPr="78C5DBBA">
              <w:rPr>
                <w:rFonts w:eastAsia="Aptos" w:cs="Aptos"/>
                <w:b/>
                <w:bCs/>
                <w:color w:val="153D63"/>
                <w:sz w:val="20"/>
                <w:szCs w:val="20"/>
              </w:rPr>
              <w:t>I.</w:t>
            </w:r>
          </w:p>
          <w:p w14:paraId="40B0015C" w14:textId="52097FFC" w:rsidR="78C5DBBA" w:rsidRDefault="78C5DBBA" w:rsidP="78C5DBBA">
            <w:pPr>
              <w:spacing w:after="0" w:line="240" w:lineRule="auto"/>
              <w:jc w:val="center"/>
              <w:rPr>
                <w:rFonts w:eastAsia="Aptos" w:cs="Aptos"/>
                <w:color w:val="153D63"/>
                <w:sz w:val="20"/>
                <w:szCs w:val="20"/>
              </w:rPr>
            </w:pPr>
            <w:r w:rsidRPr="78C5DBBA">
              <w:rPr>
                <w:rFonts w:eastAsia="Aptos" w:cs="Aptos"/>
                <w:b/>
                <w:bCs/>
                <w:color w:val="153D63"/>
                <w:sz w:val="20"/>
                <w:szCs w:val="20"/>
              </w:rPr>
              <w:t>STRATEGICKÁ ÚROVEŇ:</w:t>
            </w:r>
          </w:p>
          <w:p w14:paraId="6B933157" w14:textId="5B548B2D" w:rsidR="78C5DBBA" w:rsidRDefault="78C5DBBA" w:rsidP="78C5DBBA">
            <w:pPr>
              <w:spacing w:after="0" w:line="240" w:lineRule="auto"/>
              <w:jc w:val="center"/>
              <w:rPr>
                <w:rFonts w:eastAsia="Aptos" w:cs="Aptos"/>
                <w:color w:val="153D63"/>
                <w:sz w:val="20"/>
                <w:szCs w:val="20"/>
              </w:rPr>
            </w:pPr>
          </w:p>
          <w:p w14:paraId="2AC69D4C" w14:textId="57A97446"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Strategické řízení a garance strategie</w:t>
            </w:r>
          </w:p>
        </w:tc>
        <w:tc>
          <w:tcPr>
            <w:tcW w:w="1980" w:type="dxa"/>
            <w:tcMar>
              <w:top w:w="75" w:type="dxa"/>
              <w:left w:w="75" w:type="dxa"/>
              <w:bottom w:w="75" w:type="dxa"/>
              <w:right w:w="105" w:type="dxa"/>
            </w:tcMar>
            <w:vAlign w:val="center"/>
          </w:tcPr>
          <w:p w14:paraId="449CEDF3" w14:textId="21F550F0"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Ministerstvo zdravotnictví ČR</w:t>
            </w:r>
          </w:p>
        </w:tc>
        <w:tc>
          <w:tcPr>
            <w:tcW w:w="2400" w:type="dxa"/>
            <w:tcMar>
              <w:top w:w="75" w:type="dxa"/>
              <w:left w:w="75" w:type="dxa"/>
              <w:bottom w:w="75" w:type="dxa"/>
              <w:right w:w="105" w:type="dxa"/>
            </w:tcMar>
            <w:vAlign w:val="center"/>
          </w:tcPr>
          <w:p w14:paraId="0BEF1D5E" w14:textId="6C8115C2"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Strategická rozhodnutí;</w:t>
            </w:r>
          </w:p>
          <w:p w14:paraId="6992AA41" w14:textId="5AE98935"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Aktualizace rámcových dokumentů;</w:t>
            </w:r>
          </w:p>
          <w:p w14:paraId="00EB26F1" w14:textId="708AA70E"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Dohled nad směřováním realizace strategie;</w:t>
            </w:r>
          </w:p>
        </w:tc>
        <w:tc>
          <w:tcPr>
            <w:tcW w:w="2835" w:type="dxa"/>
            <w:tcMar>
              <w:top w:w="75" w:type="dxa"/>
              <w:left w:w="75" w:type="dxa"/>
              <w:bottom w:w="75" w:type="dxa"/>
              <w:right w:w="105" w:type="dxa"/>
            </w:tcMar>
            <w:vAlign w:val="center"/>
          </w:tcPr>
          <w:p w14:paraId="7EBA035E" w14:textId="7F2AB944"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Schválení NSVO a implementačních plánů;</w:t>
            </w:r>
          </w:p>
          <w:p w14:paraId="03F740E0" w14:textId="7FC5C199"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Schvalování zásadních změn;</w:t>
            </w:r>
          </w:p>
          <w:p w14:paraId="38CDA10D" w14:textId="2912F003"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Řízení kritických rizik;</w:t>
            </w:r>
          </w:p>
          <w:p w14:paraId="2EF6FC53" w14:textId="43CE8722"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Zajištění souladu s politikami ČR a EU</w:t>
            </w:r>
          </w:p>
        </w:tc>
      </w:tr>
      <w:tr w:rsidR="78C5DBBA" w14:paraId="5488A7A7" w14:textId="77777777" w:rsidTr="78C5DBBA">
        <w:trPr>
          <w:trHeight w:val="1905"/>
        </w:trPr>
        <w:tc>
          <w:tcPr>
            <w:tcW w:w="1965" w:type="dxa"/>
            <w:tcMar>
              <w:top w:w="75" w:type="dxa"/>
              <w:left w:w="75" w:type="dxa"/>
              <w:bottom w:w="75" w:type="dxa"/>
              <w:right w:w="105" w:type="dxa"/>
            </w:tcMar>
            <w:vAlign w:val="center"/>
          </w:tcPr>
          <w:p w14:paraId="67DB6F4A" w14:textId="5D27A2E7" w:rsidR="78C5DBBA" w:rsidRDefault="78C5DBBA" w:rsidP="78C5DBBA">
            <w:pPr>
              <w:spacing w:after="0" w:line="240" w:lineRule="auto"/>
              <w:jc w:val="center"/>
              <w:rPr>
                <w:rFonts w:eastAsia="Aptos" w:cs="Aptos"/>
                <w:color w:val="153D63"/>
                <w:sz w:val="20"/>
                <w:szCs w:val="20"/>
              </w:rPr>
            </w:pPr>
            <w:r w:rsidRPr="78C5DBBA">
              <w:rPr>
                <w:rFonts w:eastAsia="Aptos" w:cs="Aptos"/>
                <w:b/>
                <w:bCs/>
                <w:color w:val="153D63"/>
                <w:sz w:val="20"/>
                <w:szCs w:val="20"/>
              </w:rPr>
              <w:t>II.</w:t>
            </w:r>
          </w:p>
          <w:p w14:paraId="764FE2A1" w14:textId="7502F056" w:rsidR="78C5DBBA" w:rsidRDefault="78C5DBBA" w:rsidP="78C5DBBA">
            <w:pPr>
              <w:spacing w:after="0" w:line="240" w:lineRule="auto"/>
              <w:jc w:val="center"/>
              <w:rPr>
                <w:rFonts w:eastAsia="Aptos" w:cs="Aptos"/>
                <w:color w:val="153D63"/>
                <w:sz w:val="20"/>
                <w:szCs w:val="20"/>
              </w:rPr>
            </w:pPr>
            <w:r w:rsidRPr="78C5DBBA">
              <w:rPr>
                <w:rFonts w:eastAsia="Aptos" w:cs="Aptos"/>
                <w:b/>
                <w:bCs/>
                <w:color w:val="153D63"/>
                <w:sz w:val="20"/>
                <w:szCs w:val="20"/>
              </w:rPr>
              <w:t>KOORDINAČNÍ ÚROVEŇ:</w:t>
            </w:r>
          </w:p>
          <w:p w14:paraId="1CC6AEDB" w14:textId="4BC2BF36" w:rsidR="78C5DBBA" w:rsidRDefault="78C5DBBA" w:rsidP="78C5DBBA">
            <w:pPr>
              <w:spacing w:after="0" w:line="240" w:lineRule="auto"/>
              <w:jc w:val="center"/>
              <w:rPr>
                <w:rFonts w:eastAsia="Aptos" w:cs="Aptos"/>
                <w:color w:val="153D63"/>
                <w:sz w:val="20"/>
                <w:szCs w:val="20"/>
              </w:rPr>
            </w:pPr>
          </w:p>
          <w:p w14:paraId="5E662C9F" w14:textId="1ADFEDF1"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Koordinace realizace opatření NSVO</w:t>
            </w:r>
          </w:p>
        </w:tc>
        <w:tc>
          <w:tcPr>
            <w:tcW w:w="1980" w:type="dxa"/>
            <w:tcMar>
              <w:top w:w="75" w:type="dxa"/>
              <w:left w:w="75" w:type="dxa"/>
              <w:bottom w:w="75" w:type="dxa"/>
              <w:right w:w="105" w:type="dxa"/>
            </w:tcMar>
            <w:vAlign w:val="center"/>
          </w:tcPr>
          <w:p w14:paraId="136ED96E" w14:textId="2470951D"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MEKOVO;</w:t>
            </w:r>
          </w:p>
          <w:p w14:paraId="76A4DFDF" w14:textId="456EF1C9"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Koordinátor pro VO při MZD</w:t>
            </w:r>
          </w:p>
        </w:tc>
        <w:tc>
          <w:tcPr>
            <w:tcW w:w="2400" w:type="dxa"/>
            <w:tcMar>
              <w:top w:w="75" w:type="dxa"/>
              <w:left w:w="75" w:type="dxa"/>
              <w:bottom w:w="75" w:type="dxa"/>
              <w:right w:w="105" w:type="dxa"/>
            </w:tcMar>
            <w:vAlign w:val="center"/>
          </w:tcPr>
          <w:p w14:paraId="7B723015" w14:textId="7806A23C"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Implementační plány;</w:t>
            </w:r>
          </w:p>
          <w:p w14:paraId="168C96A6" w14:textId="44FD554C"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Hodnotící zprávy o průběhu realizace</w:t>
            </w:r>
          </w:p>
        </w:tc>
        <w:tc>
          <w:tcPr>
            <w:tcW w:w="2835" w:type="dxa"/>
            <w:tcMar>
              <w:top w:w="75" w:type="dxa"/>
              <w:left w:w="75" w:type="dxa"/>
              <w:bottom w:w="75" w:type="dxa"/>
              <w:right w:w="105" w:type="dxa"/>
            </w:tcMar>
            <w:vAlign w:val="center"/>
          </w:tcPr>
          <w:p w14:paraId="51A0B82B" w14:textId="139C01C5"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Prioritizace aktivit;</w:t>
            </w:r>
          </w:p>
          <w:p w14:paraId="05735285" w14:textId="6E697D35"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Vyhodnocování rizik;</w:t>
            </w:r>
          </w:p>
          <w:p w14:paraId="01F567D9" w14:textId="18F32EE0"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Koordinace realizace;</w:t>
            </w:r>
          </w:p>
          <w:p w14:paraId="635D34F3" w14:textId="7A7EE57D"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Přenos informací;</w:t>
            </w:r>
          </w:p>
          <w:p w14:paraId="611E64D2" w14:textId="2CDF4DF6"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Vyhodnocování průběhu realizace;</w:t>
            </w:r>
          </w:p>
        </w:tc>
      </w:tr>
      <w:tr w:rsidR="78C5DBBA" w14:paraId="501A46ED" w14:textId="77777777" w:rsidTr="78C5DBBA">
        <w:trPr>
          <w:trHeight w:val="285"/>
        </w:trPr>
        <w:tc>
          <w:tcPr>
            <w:tcW w:w="1965" w:type="dxa"/>
            <w:tcMar>
              <w:top w:w="75" w:type="dxa"/>
              <w:left w:w="75" w:type="dxa"/>
              <w:bottom w:w="75" w:type="dxa"/>
              <w:right w:w="105" w:type="dxa"/>
            </w:tcMar>
            <w:vAlign w:val="center"/>
          </w:tcPr>
          <w:p w14:paraId="5D6B7828" w14:textId="3145BB50" w:rsidR="78C5DBBA" w:rsidRDefault="78C5DBBA" w:rsidP="78C5DBBA">
            <w:pPr>
              <w:spacing w:after="0" w:line="240" w:lineRule="auto"/>
              <w:jc w:val="center"/>
              <w:rPr>
                <w:rFonts w:eastAsia="Aptos" w:cs="Aptos"/>
                <w:color w:val="153D63"/>
                <w:sz w:val="20"/>
                <w:szCs w:val="20"/>
              </w:rPr>
            </w:pPr>
            <w:r w:rsidRPr="78C5DBBA">
              <w:rPr>
                <w:rFonts w:eastAsia="Aptos" w:cs="Aptos"/>
                <w:b/>
                <w:bCs/>
                <w:color w:val="153D63"/>
                <w:sz w:val="20"/>
                <w:szCs w:val="20"/>
              </w:rPr>
              <w:lastRenderedPageBreak/>
              <w:t>III.</w:t>
            </w:r>
          </w:p>
          <w:p w14:paraId="77C39054" w14:textId="33CBE9FF" w:rsidR="78C5DBBA" w:rsidRDefault="78C5DBBA" w:rsidP="78C5DBBA">
            <w:pPr>
              <w:spacing w:after="0" w:line="240" w:lineRule="auto"/>
              <w:jc w:val="center"/>
              <w:rPr>
                <w:rFonts w:eastAsia="Aptos" w:cs="Aptos"/>
                <w:color w:val="153D63"/>
                <w:sz w:val="20"/>
                <w:szCs w:val="20"/>
              </w:rPr>
            </w:pPr>
            <w:r w:rsidRPr="78C5DBBA">
              <w:rPr>
                <w:rFonts w:eastAsia="Aptos" w:cs="Aptos"/>
                <w:b/>
                <w:bCs/>
                <w:color w:val="153D63"/>
                <w:sz w:val="20"/>
                <w:szCs w:val="20"/>
              </w:rPr>
              <w:t>ODBORNÁ A REALIZAČNÍ ÚROVEŇ:</w:t>
            </w:r>
          </w:p>
          <w:p w14:paraId="0E15999A" w14:textId="30D64FFC" w:rsidR="78C5DBBA" w:rsidRDefault="78C5DBBA" w:rsidP="78C5DBBA">
            <w:pPr>
              <w:spacing w:after="0" w:line="240" w:lineRule="auto"/>
              <w:jc w:val="center"/>
              <w:rPr>
                <w:rFonts w:eastAsia="Aptos" w:cs="Aptos"/>
                <w:color w:val="153D63"/>
                <w:sz w:val="20"/>
                <w:szCs w:val="20"/>
              </w:rPr>
            </w:pPr>
          </w:p>
          <w:p w14:paraId="7DF8F12D" w14:textId="5B599FAA"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Realizace konkrétních kroků vedoucích k dosažení cílů NSVO</w:t>
            </w:r>
          </w:p>
        </w:tc>
        <w:tc>
          <w:tcPr>
            <w:tcW w:w="1980" w:type="dxa"/>
            <w:tcMar>
              <w:top w:w="75" w:type="dxa"/>
              <w:left w:w="75" w:type="dxa"/>
              <w:bottom w:w="75" w:type="dxa"/>
              <w:right w:w="105" w:type="dxa"/>
            </w:tcMar>
            <w:vAlign w:val="center"/>
          </w:tcPr>
          <w:p w14:paraId="7DCCC1C6" w14:textId="6E613D7C"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Tematicky zaměřené pracovní podskupiny</w:t>
            </w:r>
          </w:p>
        </w:tc>
        <w:tc>
          <w:tcPr>
            <w:tcW w:w="2400" w:type="dxa"/>
            <w:tcMar>
              <w:top w:w="75" w:type="dxa"/>
              <w:left w:w="75" w:type="dxa"/>
              <w:bottom w:w="75" w:type="dxa"/>
              <w:right w:w="105" w:type="dxa"/>
            </w:tcMar>
            <w:vAlign w:val="center"/>
          </w:tcPr>
          <w:p w14:paraId="071401CE" w14:textId="12854B4A"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Odborné podklady, návrhy a opatření;</w:t>
            </w:r>
          </w:p>
          <w:p w14:paraId="2E960865" w14:textId="0D4F9115"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Zajištění informování odborné obce a zainteresovaných stran;</w:t>
            </w:r>
          </w:p>
          <w:p w14:paraId="09B442A3" w14:textId="393D24CB"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Podpora participace zainteresovaných stran;</w:t>
            </w:r>
          </w:p>
          <w:p w14:paraId="4AD0FF29" w14:textId="4E37AD02"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Registr rizik;</w:t>
            </w:r>
          </w:p>
          <w:p w14:paraId="4FA7A75C" w14:textId="5A0C3FB7" w:rsidR="78C5DBBA" w:rsidRDefault="78C5DBBA" w:rsidP="78C5DBBA">
            <w:pPr>
              <w:spacing w:after="0" w:line="240" w:lineRule="auto"/>
              <w:jc w:val="center"/>
              <w:rPr>
                <w:rFonts w:eastAsia="Aptos" w:cs="Aptos"/>
                <w:color w:val="153D63"/>
                <w:sz w:val="20"/>
                <w:szCs w:val="20"/>
              </w:rPr>
            </w:pPr>
          </w:p>
        </w:tc>
        <w:tc>
          <w:tcPr>
            <w:tcW w:w="2835" w:type="dxa"/>
            <w:tcMar>
              <w:top w:w="75" w:type="dxa"/>
              <w:left w:w="75" w:type="dxa"/>
              <w:bottom w:w="75" w:type="dxa"/>
              <w:right w:w="105" w:type="dxa"/>
            </w:tcMar>
            <w:vAlign w:val="center"/>
          </w:tcPr>
          <w:p w14:paraId="204B4A85" w14:textId="46D75B64"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Návrhy a podpora pro přímou realizaci opatření dle specifických cílů;</w:t>
            </w:r>
          </w:p>
          <w:p w14:paraId="62C28254" w14:textId="300EACF8"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Identifikace a hodnocení rizik;</w:t>
            </w:r>
          </w:p>
          <w:p w14:paraId="724697FB" w14:textId="7CB7454A"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Průběžné hodnocení realizace</w:t>
            </w:r>
          </w:p>
        </w:tc>
      </w:tr>
      <w:tr w:rsidR="78C5DBBA" w14:paraId="3FEA2F6C" w14:textId="77777777" w:rsidTr="78C5DBBA">
        <w:trPr>
          <w:trHeight w:val="285"/>
        </w:trPr>
        <w:tc>
          <w:tcPr>
            <w:tcW w:w="1965" w:type="dxa"/>
            <w:tcMar>
              <w:top w:w="75" w:type="dxa"/>
              <w:left w:w="75" w:type="dxa"/>
              <w:bottom w:w="75" w:type="dxa"/>
              <w:right w:w="105" w:type="dxa"/>
            </w:tcMar>
            <w:vAlign w:val="center"/>
          </w:tcPr>
          <w:p w14:paraId="32639385" w14:textId="71015737" w:rsidR="78C5DBBA" w:rsidRDefault="78C5DBBA" w:rsidP="78C5DBBA">
            <w:pPr>
              <w:spacing w:after="0" w:line="240" w:lineRule="auto"/>
              <w:jc w:val="center"/>
              <w:rPr>
                <w:rFonts w:eastAsia="Aptos" w:cs="Aptos"/>
                <w:color w:val="153D63"/>
                <w:sz w:val="20"/>
                <w:szCs w:val="20"/>
              </w:rPr>
            </w:pPr>
            <w:r w:rsidRPr="78C5DBBA">
              <w:rPr>
                <w:rFonts w:eastAsia="Aptos" w:cs="Aptos"/>
                <w:b/>
                <w:bCs/>
                <w:color w:val="153D63"/>
                <w:sz w:val="20"/>
                <w:szCs w:val="20"/>
              </w:rPr>
              <w:t>IV.</w:t>
            </w:r>
          </w:p>
          <w:p w14:paraId="6B512E57" w14:textId="772DA627" w:rsidR="78C5DBBA" w:rsidRDefault="78C5DBBA" w:rsidP="78C5DBBA">
            <w:pPr>
              <w:spacing w:after="0" w:line="240" w:lineRule="auto"/>
              <w:jc w:val="center"/>
              <w:rPr>
                <w:rFonts w:eastAsia="Aptos" w:cs="Aptos"/>
                <w:color w:val="153D63"/>
                <w:sz w:val="20"/>
                <w:szCs w:val="20"/>
              </w:rPr>
            </w:pPr>
            <w:r w:rsidRPr="78C5DBBA">
              <w:rPr>
                <w:rFonts w:eastAsia="Aptos" w:cs="Aptos"/>
                <w:b/>
                <w:bCs/>
                <w:color w:val="153D63"/>
                <w:sz w:val="20"/>
                <w:szCs w:val="20"/>
              </w:rPr>
              <w:t>PARTICIPAČNÍ ÚROVEŇ:</w:t>
            </w:r>
          </w:p>
          <w:p w14:paraId="13BAA150" w14:textId="2DBD0312" w:rsidR="78C5DBBA" w:rsidRDefault="78C5DBBA" w:rsidP="78C5DBBA">
            <w:pPr>
              <w:spacing w:after="0" w:line="240" w:lineRule="auto"/>
              <w:jc w:val="center"/>
              <w:rPr>
                <w:rFonts w:eastAsia="Aptos" w:cs="Aptos"/>
                <w:color w:val="153D63"/>
                <w:sz w:val="20"/>
                <w:szCs w:val="20"/>
              </w:rPr>
            </w:pPr>
          </w:p>
          <w:p w14:paraId="5F4B1280" w14:textId="2CDDD904"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Spolurealizace opatření NSVO prostřednictvím aktivního zapojení</w:t>
            </w:r>
          </w:p>
        </w:tc>
        <w:tc>
          <w:tcPr>
            <w:tcW w:w="1980" w:type="dxa"/>
            <w:tcMar>
              <w:top w:w="75" w:type="dxa"/>
              <w:left w:w="75" w:type="dxa"/>
              <w:bottom w:w="75" w:type="dxa"/>
              <w:right w:w="105" w:type="dxa"/>
            </w:tcMar>
            <w:vAlign w:val="center"/>
          </w:tcPr>
          <w:p w14:paraId="305C80E8" w14:textId="24F7C471"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Pacientské organizace;</w:t>
            </w:r>
          </w:p>
          <w:p w14:paraId="0BE7C79C" w14:textId="2ADEC119"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Odborná veřejnost;</w:t>
            </w:r>
          </w:p>
          <w:p w14:paraId="2D635756" w14:textId="20D1230A"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Zdravotní pojišťovny;</w:t>
            </w:r>
          </w:p>
          <w:p w14:paraId="08029AF4" w14:textId="14FDB2A4"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Odborné lékařské společnosti;</w:t>
            </w:r>
          </w:p>
          <w:p w14:paraId="792BA2D5" w14:textId="2B55852B"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Centra ERN;</w:t>
            </w:r>
          </w:p>
          <w:p w14:paraId="4925E3CF" w14:textId="27647165"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Kraje;</w:t>
            </w:r>
          </w:p>
          <w:p w14:paraId="44A4B3E4" w14:textId="68B33754"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Odpovědné instituce</w:t>
            </w:r>
          </w:p>
        </w:tc>
        <w:tc>
          <w:tcPr>
            <w:tcW w:w="2400" w:type="dxa"/>
            <w:tcMar>
              <w:top w:w="75" w:type="dxa"/>
              <w:left w:w="75" w:type="dxa"/>
              <w:bottom w:w="75" w:type="dxa"/>
              <w:right w:w="105" w:type="dxa"/>
            </w:tcMar>
            <w:vAlign w:val="center"/>
          </w:tcPr>
          <w:p w14:paraId="274DBDD5" w14:textId="49CDCFCA"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Společně realizované intervence;</w:t>
            </w:r>
          </w:p>
          <w:p w14:paraId="7828B2C2" w14:textId="293C4E42"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Zpětná vazba od cílových skupin i odborných aktérů;</w:t>
            </w:r>
          </w:p>
          <w:p w14:paraId="4ECE6027" w14:textId="177829B0"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Návrhy na úpravy realizačních postupů</w:t>
            </w:r>
          </w:p>
        </w:tc>
        <w:tc>
          <w:tcPr>
            <w:tcW w:w="2835" w:type="dxa"/>
            <w:tcMar>
              <w:top w:w="75" w:type="dxa"/>
              <w:left w:w="75" w:type="dxa"/>
              <w:bottom w:w="75" w:type="dxa"/>
              <w:right w:w="105" w:type="dxa"/>
            </w:tcMar>
            <w:vAlign w:val="center"/>
          </w:tcPr>
          <w:p w14:paraId="5D3AF85F" w14:textId="0CF66917"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Spolupráce na zavádění opatření do praxe z pohledu uživatelů i odborníků;</w:t>
            </w:r>
          </w:p>
          <w:p w14:paraId="309F47AA" w14:textId="4678A3C4"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Přímá podpora implementace realizovaných opatření do praxe;</w:t>
            </w:r>
          </w:p>
          <w:p w14:paraId="60FAAF0C" w14:textId="0D47F7D4"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Participační mechanismy;</w:t>
            </w:r>
          </w:p>
          <w:p w14:paraId="535B3602" w14:textId="33EBD5EC" w:rsidR="78C5DBBA" w:rsidRDefault="78C5DBBA" w:rsidP="78C5DBBA">
            <w:pPr>
              <w:spacing w:after="0" w:line="240" w:lineRule="auto"/>
              <w:jc w:val="center"/>
              <w:rPr>
                <w:rFonts w:eastAsia="Aptos" w:cs="Aptos"/>
                <w:color w:val="153D63"/>
                <w:sz w:val="20"/>
                <w:szCs w:val="20"/>
              </w:rPr>
            </w:pPr>
            <w:r w:rsidRPr="78C5DBBA">
              <w:rPr>
                <w:rFonts w:eastAsia="Aptos" w:cs="Aptos"/>
                <w:color w:val="153D63"/>
                <w:sz w:val="20"/>
                <w:szCs w:val="20"/>
              </w:rPr>
              <w:t>Evaluace dopadů realizace</w:t>
            </w:r>
          </w:p>
        </w:tc>
      </w:tr>
    </w:tbl>
    <w:p w14:paraId="66A8E547" w14:textId="4B629064" w:rsidR="78C5DBBA" w:rsidRDefault="78C5DBBA" w:rsidP="78C5DBBA">
      <w:pPr>
        <w:rPr>
          <w:b/>
          <w:bCs/>
        </w:rPr>
      </w:pPr>
    </w:p>
    <w:p w14:paraId="2ACD13D0" w14:textId="19ED9613" w:rsidR="78C5DBBA" w:rsidRDefault="78C5DBBA" w:rsidP="78C5DBBA">
      <w:pPr>
        <w:jc w:val="both"/>
        <w:rPr>
          <w:b/>
          <w:bCs/>
        </w:rPr>
      </w:pPr>
    </w:p>
    <w:p w14:paraId="4B24B67E" w14:textId="1C6B2023" w:rsidR="36C8DEA2" w:rsidRDefault="36C8DEA2" w:rsidP="78C5DBBA">
      <w:pPr>
        <w:jc w:val="both"/>
        <w:rPr>
          <w:b/>
          <w:bCs/>
        </w:rPr>
      </w:pPr>
      <w:r w:rsidRPr="78C5DBBA">
        <w:rPr>
          <w:b/>
          <w:bCs/>
        </w:rPr>
        <w:t>Gestoři a spolupracující subjekty</w:t>
      </w:r>
    </w:p>
    <w:p w14:paraId="4C7D0D41" w14:textId="1A3C4E69" w:rsidR="00E44A35" w:rsidRDefault="59BEC3AB" w:rsidP="00E44A35">
      <w:pPr>
        <w:jc w:val="both"/>
      </w:pPr>
      <w:r>
        <w:t>Do implementace NSVO jsou zapojeni gestoři a spolupracující subjekty</w:t>
      </w:r>
      <w:r w:rsidR="76422FB8">
        <w:t xml:space="preserve">. </w:t>
      </w:r>
      <w:r>
        <w:t xml:space="preserve">Konkrétní přehled gestorů a spolupracujících subjektů ve vztahu k jednotlivým specifickým cílům NSVO je uveden </w:t>
      </w:r>
      <w:r w:rsidR="00644157">
        <w:t xml:space="preserve">    </w:t>
      </w:r>
      <w:r>
        <w:t xml:space="preserve">v Tabulce </w:t>
      </w:r>
      <w:r w:rsidR="06849B84">
        <w:t>2</w:t>
      </w:r>
      <w:r>
        <w:t>.</w:t>
      </w:r>
    </w:p>
    <w:p w14:paraId="17DEBD87" w14:textId="6E478F41" w:rsidR="78C5DBBA" w:rsidRDefault="78C5DBBA" w:rsidP="78C5DBBA">
      <w:pPr>
        <w:jc w:val="both"/>
      </w:pPr>
    </w:p>
    <w:p w14:paraId="3598022C" w14:textId="180289DE" w:rsidR="004F5B02" w:rsidRPr="00370089" w:rsidRDefault="0AE0C1D6" w:rsidP="00370089">
      <w:pPr>
        <w:spacing w:after="0" w:line="240" w:lineRule="auto"/>
        <w:rPr>
          <w:b/>
          <w:bCs/>
        </w:rPr>
      </w:pPr>
      <w:r w:rsidRPr="5BF5182F">
        <w:rPr>
          <w:b/>
          <w:bCs/>
        </w:rPr>
        <w:t xml:space="preserve">Tabulka </w:t>
      </w:r>
      <w:r w:rsidR="270FDABC" w:rsidRPr="5BF5182F">
        <w:rPr>
          <w:b/>
          <w:bCs/>
        </w:rPr>
        <w:t>2</w:t>
      </w:r>
      <w:r w:rsidRPr="5BF5182F">
        <w:rPr>
          <w:b/>
          <w:bCs/>
        </w:rPr>
        <w:t xml:space="preserve">: </w:t>
      </w:r>
      <w:r>
        <w:t>Seznam garantů a spolupracujících subjektů jednotlivých Specifických cílů NSVO.</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2268"/>
        <w:gridCol w:w="4536"/>
      </w:tblGrid>
      <w:tr w:rsidR="00E44A35" w:rsidRPr="00104B2A" w14:paraId="2B1EE23B" w14:textId="77777777" w:rsidTr="5BF5182F">
        <w:trPr>
          <w:trHeight w:val="474"/>
        </w:trPr>
        <w:tc>
          <w:tcPr>
            <w:tcW w:w="2263" w:type="dxa"/>
          </w:tcPr>
          <w:p w14:paraId="20ADC88D" w14:textId="77777777" w:rsidR="00E44A35" w:rsidRPr="00E44A35" w:rsidRDefault="00E44A35" w:rsidP="00E44A35">
            <w:pPr>
              <w:spacing w:after="0" w:line="240" w:lineRule="auto"/>
              <w:rPr>
                <w:b/>
                <w:bCs/>
                <w:color w:val="1F3864" w:themeColor="accent1" w:themeShade="80"/>
              </w:rPr>
            </w:pPr>
            <w:r w:rsidRPr="00E44A35">
              <w:rPr>
                <w:b/>
                <w:bCs/>
                <w:color w:val="1F3864" w:themeColor="accent1" w:themeShade="80"/>
              </w:rPr>
              <w:t>Specifický cíl</w:t>
            </w:r>
          </w:p>
        </w:tc>
        <w:tc>
          <w:tcPr>
            <w:tcW w:w="2268" w:type="dxa"/>
          </w:tcPr>
          <w:p w14:paraId="45F37E32" w14:textId="77777777" w:rsidR="00E44A35" w:rsidRPr="00E44A35" w:rsidRDefault="00E44A35" w:rsidP="00E44A35">
            <w:pPr>
              <w:spacing w:after="0" w:line="240" w:lineRule="auto"/>
              <w:rPr>
                <w:b/>
                <w:bCs/>
                <w:color w:val="1F3864" w:themeColor="accent1" w:themeShade="80"/>
              </w:rPr>
            </w:pPr>
            <w:r w:rsidRPr="00E44A35">
              <w:rPr>
                <w:b/>
                <w:bCs/>
                <w:color w:val="1F3864" w:themeColor="accent1" w:themeShade="80"/>
              </w:rPr>
              <w:t>Garant</w:t>
            </w:r>
          </w:p>
        </w:tc>
        <w:tc>
          <w:tcPr>
            <w:tcW w:w="4536" w:type="dxa"/>
          </w:tcPr>
          <w:p w14:paraId="293D2E1D" w14:textId="77777777" w:rsidR="00E44A35" w:rsidRPr="00E44A35" w:rsidRDefault="00E44A35" w:rsidP="00E44A35">
            <w:pPr>
              <w:spacing w:after="0" w:line="240" w:lineRule="auto"/>
              <w:rPr>
                <w:b/>
                <w:bCs/>
                <w:color w:val="1F3864" w:themeColor="accent1" w:themeShade="80"/>
              </w:rPr>
            </w:pPr>
            <w:r w:rsidRPr="00E44A35">
              <w:rPr>
                <w:b/>
                <w:bCs/>
                <w:color w:val="1F3864" w:themeColor="accent1" w:themeShade="80"/>
              </w:rPr>
              <w:t>Spolupracující subjekty a instituce</w:t>
            </w:r>
          </w:p>
        </w:tc>
      </w:tr>
      <w:tr w:rsidR="00E44A35" w:rsidRPr="00E44A35" w14:paraId="6089A8F7" w14:textId="77777777" w:rsidTr="5BF5182F">
        <w:trPr>
          <w:trHeight w:val="1613"/>
        </w:trPr>
        <w:tc>
          <w:tcPr>
            <w:tcW w:w="2263" w:type="dxa"/>
          </w:tcPr>
          <w:p w14:paraId="5AD9C726" w14:textId="77777777" w:rsidR="00E44A35" w:rsidRPr="00E44A35" w:rsidRDefault="00E44A35" w:rsidP="00E44A35">
            <w:pPr>
              <w:spacing w:after="0" w:line="240" w:lineRule="auto"/>
              <w:rPr>
                <w:b/>
                <w:bCs/>
                <w:sz w:val="20"/>
                <w:szCs w:val="20"/>
              </w:rPr>
            </w:pPr>
            <w:r w:rsidRPr="00E44A35">
              <w:rPr>
                <w:b/>
                <w:bCs/>
                <w:sz w:val="20"/>
                <w:szCs w:val="20"/>
              </w:rPr>
              <w:t>1.1 Zapojení pacientů a jejich blízkých do péče a rozhodovacích procesů</w:t>
            </w:r>
          </w:p>
        </w:tc>
        <w:tc>
          <w:tcPr>
            <w:tcW w:w="2268" w:type="dxa"/>
          </w:tcPr>
          <w:p w14:paraId="01D761AF" w14:textId="77777777" w:rsidR="00E44A35" w:rsidRPr="00E44A35" w:rsidRDefault="00E44A35" w:rsidP="00E44A35">
            <w:pPr>
              <w:spacing w:after="0" w:line="240" w:lineRule="auto"/>
              <w:rPr>
                <w:sz w:val="20"/>
                <w:szCs w:val="20"/>
              </w:rPr>
            </w:pPr>
            <w:r w:rsidRPr="00E44A35">
              <w:rPr>
                <w:sz w:val="20"/>
                <w:szCs w:val="20"/>
              </w:rPr>
              <w:t>MZD</w:t>
            </w:r>
          </w:p>
          <w:p w14:paraId="6FB9F536" w14:textId="0975A8BF" w:rsidR="00E44A35" w:rsidRPr="00E44A35" w:rsidRDefault="00E44A35" w:rsidP="00E44A35">
            <w:pPr>
              <w:spacing w:after="0" w:line="240" w:lineRule="auto"/>
              <w:rPr>
                <w:sz w:val="20"/>
                <w:szCs w:val="20"/>
              </w:rPr>
            </w:pPr>
            <w:r w:rsidRPr="00E44A35">
              <w:rPr>
                <w:sz w:val="20"/>
                <w:szCs w:val="20"/>
              </w:rPr>
              <w:t>Oddělení podpory práv pacientů; pacientské organizace</w:t>
            </w:r>
          </w:p>
        </w:tc>
        <w:tc>
          <w:tcPr>
            <w:tcW w:w="4536" w:type="dxa"/>
          </w:tcPr>
          <w:p w14:paraId="4C0114D9" w14:textId="276C102D" w:rsidR="00E44A35" w:rsidRPr="00E44A35" w:rsidRDefault="00E44A35" w:rsidP="00E44A35">
            <w:pPr>
              <w:spacing w:after="0" w:line="240" w:lineRule="auto"/>
              <w:jc w:val="both"/>
              <w:rPr>
                <w:sz w:val="20"/>
                <w:szCs w:val="20"/>
              </w:rPr>
            </w:pPr>
            <w:r w:rsidRPr="00E44A35">
              <w:rPr>
                <w:sz w:val="20"/>
                <w:szCs w:val="20"/>
              </w:rPr>
              <w:t>Poskytovatelé zdravotních služeb; Česká lékařská společnost Jana Evangelisty Purkyně; zdravotní pojišťovny; Česká asociace sester; Institut postgraduálního vzdělávání ve zdravotnictví; Národní centrum ošetřovatelství a nelékařských zdravotnických oborů</w:t>
            </w:r>
          </w:p>
        </w:tc>
      </w:tr>
      <w:tr w:rsidR="00E44A35" w:rsidRPr="00E44A35" w14:paraId="496BFC1D" w14:textId="77777777" w:rsidTr="5BF5182F">
        <w:trPr>
          <w:trHeight w:val="1883"/>
        </w:trPr>
        <w:tc>
          <w:tcPr>
            <w:tcW w:w="2263" w:type="dxa"/>
          </w:tcPr>
          <w:p w14:paraId="1C23E74C" w14:textId="77777777" w:rsidR="00E44A35" w:rsidRPr="00E44A35" w:rsidRDefault="00E44A35" w:rsidP="00E44A35">
            <w:pPr>
              <w:spacing w:after="0" w:line="240" w:lineRule="auto"/>
              <w:rPr>
                <w:b/>
                <w:bCs/>
                <w:sz w:val="20"/>
                <w:szCs w:val="20"/>
              </w:rPr>
            </w:pPr>
            <w:r w:rsidRPr="00E44A35">
              <w:rPr>
                <w:b/>
                <w:bCs/>
                <w:sz w:val="20"/>
                <w:szCs w:val="20"/>
              </w:rPr>
              <w:t>1.2 Zajištění dostupné a srozumitelné informační podpory pro pacienty se vzácnými onemocněními a jejich blízké</w:t>
            </w:r>
          </w:p>
        </w:tc>
        <w:tc>
          <w:tcPr>
            <w:tcW w:w="2268" w:type="dxa"/>
          </w:tcPr>
          <w:p w14:paraId="27736F00" w14:textId="77777777" w:rsidR="00E44A35" w:rsidRPr="00E44A35" w:rsidRDefault="00E44A35" w:rsidP="00E44A35">
            <w:pPr>
              <w:spacing w:after="0" w:line="240" w:lineRule="auto"/>
              <w:rPr>
                <w:sz w:val="20"/>
                <w:szCs w:val="20"/>
              </w:rPr>
            </w:pPr>
            <w:r w:rsidRPr="00E44A35">
              <w:rPr>
                <w:sz w:val="20"/>
                <w:szCs w:val="20"/>
              </w:rPr>
              <w:t xml:space="preserve">MZD </w:t>
            </w:r>
          </w:p>
          <w:p w14:paraId="286D00BD" w14:textId="0AA64360" w:rsidR="00E44A35" w:rsidRPr="00E44A35" w:rsidRDefault="00E44A35" w:rsidP="00E44A35">
            <w:pPr>
              <w:spacing w:after="0" w:line="240" w:lineRule="auto"/>
              <w:rPr>
                <w:sz w:val="20"/>
                <w:szCs w:val="20"/>
              </w:rPr>
            </w:pPr>
            <w:r w:rsidRPr="00E44A35">
              <w:rPr>
                <w:sz w:val="20"/>
                <w:szCs w:val="20"/>
              </w:rPr>
              <w:t>Oddělení podpory práv pacientů; pacientské organizace</w:t>
            </w:r>
          </w:p>
        </w:tc>
        <w:tc>
          <w:tcPr>
            <w:tcW w:w="4536" w:type="dxa"/>
          </w:tcPr>
          <w:p w14:paraId="78C219FD" w14:textId="77777777" w:rsidR="00E44A35" w:rsidRPr="00E44A35" w:rsidRDefault="00E44A35" w:rsidP="00E44A35">
            <w:pPr>
              <w:spacing w:after="0" w:line="240" w:lineRule="auto"/>
              <w:jc w:val="both"/>
              <w:rPr>
                <w:sz w:val="20"/>
                <w:szCs w:val="20"/>
              </w:rPr>
            </w:pPr>
            <w:r w:rsidRPr="00E44A35">
              <w:rPr>
                <w:sz w:val="20"/>
                <w:szCs w:val="20"/>
              </w:rPr>
              <w:t>Poskytovatelé zdravotních služeb; Česká lékařská společnost Jana Evangelisty Purkyně; zdravotní pojišťovny; Česká asociace sester; Institut postgraduálního vzdělávání ve zdravotnictví; Národní centrum ošetřovatelství a nelékařských zdravotnických oborů</w:t>
            </w:r>
          </w:p>
        </w:tc>
      </w:tr>
      <w:tr w:rsidR="00E44A35" w:rsidRPr="00E44A35" w14:paraId="296EE9D1" w14:textId="77777777" w:rsidTr="5BF5182F">
        <w:trPr>
          <w:trHeight w:val="144"/>
        </w:trPr>
        <w:tc>
          <w:tcPr>
            <w:tcW w:w="2263" w:type="dxa"/>
          </w:tcPr>
          <w:p w14:paraId="4EB3D274" w14:textId="77777777" w:rsidR="00E44A35" w:rsidRPr="00E44A35" w:rsidRDefault="00E44A35" w:rsidP="00E44A35">
            <w:pPr>
              <w:spacing w:after="0" w:line="240" w:lineRule="auto"/>
              <w:rPr>
                <w:b/>
                <w:bCs/>
                <w:sz w:val="20"/>
                <w:szCs w:val="20"/>
              </w:rPr>
            </w:pPr>
            <w:r w:rsidRPr="00E44A35">
              <w:rPr>
                <w:b/>
                <w:bCs/>
                <w:sz w:val="20"/>
                <w:szCs w:val="20"/>
              </w:rPr>
              <w:t xml:space="preserve">2.1 Organizace zdravotní péče s důrazem na centralizaci prostřednictvím </w:t>
            </w:r>
            <w:r w:rsidRPr="00E44A35">
              <w:rPr>
                <w:b/>
                <w:bCs/>
                <w:sz w:val="20"/>
                <w:szCs w:val="20"/>
              </w:rPr>
              <w:lastRenderedPageBreak/>
              <w:t>národních a mezinárodních sítí</w:t>
            </w:r>
          </w:p>
        </w:tc>
        <w:tc>
          <w:tcPr>
            <w:tcW w:w="2268" w:type="dxa"/>
          </w:tcPr>
          <w:p w14:paraId="20A24D4B" w14:textId="77777777" w:rsidR="00E44A35" w:rsidRPr="00E44A35" w:rsidRDefault="00E44A35" w:rsidP="00E44A35">
            <w:pPr>
              <w:spacing w:after="0" w:line="240" w:lineRule="auto"/>
              <w:rPr>
                <w:sz w:val="20"/>
                <w:szCs w:val="20"/>
              </w:rPr>
            </w:pPr>
            <w:r w:rsidRPr="00E44A35">
              <w:rPr>
                <w:sz w:val="20"/>
                <w:szCs w:val="20"/>
              </w:rPr>
              <w:lastRenderedPageBreak/>
              <w:t xml:space="preserve">MZD </w:t>
            </w:r>
          </w:p>
          <w:p w14:paraId="639D97E3" w14:textId="6A9992D1" w:rsidR="00E44A35" w:rsidRPr="00E44A35" w:rsidRDefault="00E44A35" w:rsidP="00E44A35">
            <w:pPr>
              <w:spacing w:after="0" w:line="240" w:lineRule="auto"/>
              <w:rPr>
                <w:sz w:val="20"/>
                <w:szCs w:val="20"/>
              </w:rPr>
            </w:pPr>
            <w:r w:rsidRPr="00E44A35">
              <w:rPr>
                <w:sz w:val="20"/>
                <w:szCs w:val="20"/>
              </w:rPr>
              <w:t>Odbor zdravotní péče</w:t>
            </w:r>
          </w:p>
        </w:tc>
        <w:tc>
          <w:tcPr>
            <w:tcW w:w="4536" w:type="dxa"/>
          </w:tcPr>
          <w:p w14:paraId="2FD8C0F3" w14:textId="6C43B301" w:rsidR="00E44A35" w:rsidRPr="00E44A35" w:rsidRDefault="59BEC3AB" w:rsidP="00E44A35">
            <w:pPr>
              <w:spacing w:after="0" w:line="240" w:lineRule="auto"/>
              <w:jc w:val="both"/>
              <w:rPr>
                <w:sz w:val="20"/>
                <w:szCs w:val="20"/>
              </w:rPr>
            </w:pPr>
            <w:r w:rsidRPr="5BF5182F">
              <w:rPr>
                <w:sz w:val="20"/>
                <w:szCs w:val="20"/>
              </w:rPr>
              <w:t xml:space="preserve">Zdravotní pojišťovny; poskytovatelé zdravotních služeb; Česká lékařská společnost Jana Evangelisty Purkyně; MZD – Odbor regulace cen </w:t>
            </w:r>
            <w:r w:rsidR="0AC01724" w:rsidRPr="5BF5182F">
              <w:rPr>
                <w:sz w:val="20"/>
                <w:szCs w:val="20"/>
              </w:rPr>
              <w:t xml:space="preserve">     </w:t>
            </w:r>
            <w:r w:rsidR="00644157">
              <w:rPr>
                <w:sz w:val="20"/>
                <w:szCs w:val="20"/>
              </w:rPr>
              <w:t xml:space="preserve">    </w:t>
            </w:r>
            <w:r w:rsidRPr="5BF5182F">
              <w:rPr>
                <w:sz w:val="20"/>
                <w:szCs w:val="20"/>
              </w:rPr>
              <w:t xml:space="preserve">a úhrad; MZD – Oddělení zdravotních výkonů </w:t>
            </w:r>
            <w:r w:rsidR="1D1AF8CA" w:rsidRPr="5BF5182F">
              <w:rPr>
                <w:sz w:val="20"/>
                <w:szCs w:val="20"/>
              </w:rPr>
              <w:t xml:space="preserve">         </w:t>
            </w:r>
            <w:r w:rsidR="00644157">
              <w:rPr>
                <w:sz w:val="20"/>
                <w:szCs w:val="20"/>
              </w:rPr>
              <w:t xml:space="preserve">       </w:t>
            </w:r>
            <w:r w:rsidR="1D1AF8CA" w:rsidRPr="5BF5182F">
              <w:rPr>
                <w:sz w:val="20"/>
                <w:szCs w:val="20"/>
              </w:rPr>
              <w:t xml:space="preserve"> </w:t>
            </w:r>
            <w:r w:rsidRPr="5BF5182F">
              <w:rPr>
                <w:sz w:val="20"/>
                <w:szCs w:val="20"/>
              </w:rPr>
              <w:t xml:space="preserve">a dotací; Ústav zdravotnických informací </w:t>
            </w:r>
            <w:r w:rsidR="5AA97E6D" w:rsidRPr="5BF5182F">
              <w:rPr>
                <w:sz w:val="20"/>
                <w:szCs w:val="20"/>
              </w:rPr>
              <w:t xml:space="preserve">                           </w:t>
            </w:r>
            <w:r w:rsidRPr="5BF5182F">
              <w:rPr>
                <w:sz w:val="20"/>
                <w:szCs w:val="20"/>
              </w:rPr>
              <w:lastRenderedPageBreak/>
              <w:t xml:space="preserve">a statistiky ČR; Národní institut pro kvalitu </w:t>
            </w:r>
            <w:r w:rsidR="78AAE031" w:rsidRPr="5BF5182F">
              <w:rPr>
                <w:sz w:val="20"/>
                <w:szCs w:val="20"/>
              </w:rPr>
              <w:t xml:space="preserve">              </w:t>
            </w:r>
            <w:r w:rsidR="00644157">
              <w:rPr>
                <w:sz w:val="20"/>
                <w:szCs w:val="20"/>
              </w:rPr>
              <w:t xml:space="preserve">        </w:t>
            </w:r>
            <w:r w:rsidR="78AAE031" w:rsidRPr="5BF5182F">
              <w:rPr>
                <w:sz w:val="20"/>
                <w:szCs w:val="20"/>
              </w:rPr>
              <w:t xml:space="preserve"> </w:t>
            </w:r>
            <w:r w:rsidRPr="5BF5182F">
              <w:rPr>
                <w:sz w:val="20"/>
                <w:szCs w:val="20"/>
              </w:rPr>
              <w:t>a excelenci ve zdravotnictví; pacientské organizace; kraje; Ministerstvo práce a sociálních věcí ČR</w:t>
            </w:r>
          </w:p>
        </w:tc>
      </w:tr>
      <w:tr w:rsidR="00E44A35" w:rsidRPr="00E44A35" w14:paraId="6AD772AC" w14:textId="77777777" w:rsidTr="5BF5182F">
        <w:trPr>
          <w:trHeight w:val="144"/>
        </w:trPr>
        <w:tc>
          <w:tcPr>
            <w:tcW w:w="2263" w:type="dxa"/>
          </w:tcPr>
          <w:p w14:paraId="1F0CD1F7" w14:textId="77777777" w:rsidR="00E44A35" w:rsidRPr="00E44A35" w:rsidRDefault="00E44A35" w:rsidP="00E44A35">
            <w:pPr>
              <w:spacing w:after="0" w:line="240" w:lineRule="auto"/>
              <w:rPr>
                <w:b/>
                <w:bCs/>
                <w:sz w:val="20"/>
                <w:szCs w:val="20"/>
              </w:rPr>
            </w:pPr>
            <w:r w:rsidRPr="00E44A35">
              <w:rPr>
                <w:b/>
                <w:bCs/>
                <w:sz w:val="20"/>
                <w:szCs w:val="20"/>
              </w:rPr>
              <w:t>2.2 Rozvoj zdravotní péče prostřednictvím implementace moderních postupů a technologií</w:t>
            </w:r>
          </w:p>
        </w:tc>
        <w:tc>
          <w:tcPr>
            <w:tcW w:w="2268" w:type="dxa"/>
          </w:tcPr>
          <w:p w14:paraId="242C3995" w14:textId="77777777" w:rsidR="00E44A35" w:rsidRPr="00E44A35" w:rsidRDefault="00E44A35" w:rsidP="00E44A35">
            <w:pPr>
              <w:spacing w:after="0" w:line="240" w:lineRule="auto"/>
              <w:rPr>
                <w:sz w:val="20"/>
                <w:szCs w:val="20"/>
              </w:rPr>
            </w:pPr>
            <w:r w:rsidRPr="00E44A35">
              <w:rPr>
                <w:sz w:val="20"/>
                <w:szCs w:val="20"/>
              </w:rPr>
              <w:t xml:space="preserve">MZD </w:t>
            </w:r>
          </w:p>
          <w:p w14:paraId="49DFBECE" w14:textId="3F7FC819" w:rsidR="00E44A35" w:rsidRPr="00E44A35" w:rsidRDefault="00E44A35" w:rsidP="00E44A35">
            <w:pPr>
              <w:spacing w:after="0" w:line="240" w:lineRule="auto"/>
              <w:rPr>
                <w:sz w:val="20"/>
                <w:szCs w:val="20"/>
              </w:rPr>
            </w:pPr>
            <w:r w:rsidRPr="00E44A35">
              <w:rPr>
                <w:sz w:val="20"/>
                <w:szCs w:val="20"/>
              </w:rPr>
              <w:t>Odbor zdravotní péče</w:t>
            </w:r>
          </w:p>
        </w:tc>
        <w:tc>
          <w:tcPr>
            <w:tcW w:w="4536" w:type="dxa"/>
          </w:tcPr>
          <w:p w14:paraId="27A7C904" w14:textId="77777777" w:rsidR="00E44A35" w:rsidRPr="00E44A35" w:rsidRDefault="00E44A35" w:rsidP="00E44A35">
            <w:pPr>
              <w:spacing w:after="0" w:line="240" w:lineRule="auto"/>
              <w:jc w:val="both"/>
              <w:rPr>
                <w:sz w:val="20"/>
                <w:szCs w:val="20"/>
              </w:rPr>
            </w:pPr>
            <w:r w:rsidRPr="00E44A35">
              <w:rPr>
                <w:sz w:val="20"/>
                <w:szCs w:val="20"/>
              </w:rPr>
              <w:t>Zdravotní pojišťovny; poskytovatelé zdravotních služeb; Odbor Národního centra elektronického zdravotnictví; MZD – Odbor regulace cen a úhrad; MZD – Odbor léčiv a zdravotnických prostředků; MZD – Oddělení inovací, strategického rozvoje, digitálních technologií a AI; MZD – Oddělení hodnocení zdravotnických technologií; pacientské organizace; kraje; velké výzkumné infrastruktury</w:t>
            </w:r>
          </w:p>
        </w:tc>
      </w:tr>
      <w:tr w:rsidR="00E44A35" w:rsidRPr="00E44A35" w14:paraId="3FAB0225" w14:textId="77777777" w:rsidTr="5BF5182F">
        <w:trPr>
          <w:trHeight w:val="144"/>
        </w:trPr>
        <w:tc>
          <w:tcPr>
            <w:tcW w:w="2263" w:type="dxa"/>
          </w:tcPr>
          <w:p w14:paraId="6657109E" w14:textId="77777777" w:rsidR="00E44A35" w:rsidRPr="00E44A35" w:rsidRDefault="00E44A35" w:rsidP="00E44A35">
            <w:pPr>
              <w:spacing w:after="0" w:line="240" w:lineRule="auto"/>
              <w:rPr>
                <w:b/>
                <w:bCs/>
                <w:sz w:val="20"/>
                <w:szCs w:val="20"/>
              </w:rPr>
            </w:pPr>
            <w:r w:rsidRPr="00E44A35">
              <w:rPr>
                <w:b/>
                <w:bCs/>
                <w:sz w:val="20"/>
                <w:szCs w:val="20"/>
              </w:rPr>
              <w:t>3.1 Zvýšení efektivity v systému péče prostřednictvím koordinace a plánování</w:t>
            </w:r>
          </w:p>
        </w:tc>
        <w:tc>
          <w:tcPr>
            <w:tcW w:w="2268" w:type="dxa"/>
          </w:tcPr>
          <w:p w14:paraId="2081D136" w14:textId="77777777" w:rsidR="00E44A35" w:rsidRPr="00E44A35" w:rsidRDefault="00E44A35" w:rsidP="00E44A35">
            <w:pPr>
              <w:spacing w:after="0" w:line="240" w:lineRule="auto"/>
              <w:rPr>
                <w:sz w:val="20"/>
                <w:szCs w:val="20"/>
              </w:rPr>
            </w:pPr>
            <w:r w:rsidRPr="00E44A35">
              <w:rPr>
                <w:sz w:val="20"/>
                <w:szCs w:val="20"/>
              </w:rPr>
              <w:t xml:space="preserve">MZD </w:t>
            </w:r>
          </w:p>
          <w:p w14:paraId="35255909" w14:textId="6D102C56" w:rsidR="00E44A35" w:rsidRPr="00E44A35" w:rsidRDefault="00E44A35" w:rsidP="00E44A35">
            <w:pPr>
              <w:spacing w:after="0" w:line="240" w:lineRule="auto"/>
              <w:rPr>
                <w:sz w:val="20"/>
                <w:szCs w:val="20"/>
              </w:rPr>
            </w:pPr>
            <w:r w:rsidRPr="00E44A35">
              <w:rPr>
                <w:sz w:val="20"/>
                <w:szCs w:val="20"/>
              </w:rPr>
              <w:t>Odbor zdravotní péče</w:t>
            </w:r>
          </w:p>
        </w:tc>
        <w:tc>
          <w:tcPr>
            <w:tcW w:w="4536" w:type="dxa"/>
          </w:tcPr>
          <w:p w14:paraId="74D58DBA" w14:textId="77777777" w:rsidR="00E44A35" w:rsidRPr="00E44A35" w:rsidRDefault="00E44A35" w:rsidP="00E44A35">
            <w:pPr>
              <w:spacing w:after="0" w:line="240" w:lineRule="auto"/>
              <w:jc w:val="both"/>
              <w:rPr>
                <w:sz w:val="20"/>
                <w:szCs w:val="20"/>
              </w:rPr>
            </w:pPr>
            <w:r w:rsidRPr="00E44A35">
              <w:rPr>
                <w:sz w:val="20"/>
                <w:szCs w:val="20"/>
              </w:rPr>
              <w:t>Poskytovatelé zdravotní péče; poskytovatelé sociálních služeb; zdravotní pojišťovny; Ministerstvo práce a sociálních věcí ČR; kraje; Ústav zdravotnických informací a statistiky ČR; MZD – Odbor regulace cen a úhrad; pacientské organizace</w:t>
            </w:r>
          </w:p>
        </w:tc>
      </w:tr>
      <w:tr w:rsidR="00E44A35" w:rsidRPr="00E44A35" w14:paraId="2F49711D" w14:textId="77777777" w:rsidTr="5BF5182F">
        <w:trPr>
          <w:trHeight w:val="144"/>
        </w:trPr>
        <w:tc>
          <w:tcPr>
            <w:tcW w:w="2263" w:type="dxa"/>
          </w:tcPr>
          <w:p w14:paraId="1E7E1CBC" w14:textId="77777777" w:rsidR="00E44A35" w:rsidRPr="00E44A35" w:rsidRDefault="00E44A35" w:rsidP="00E44A35">
            <w:pPr>
              <w:spacing w:after="0" w:line="240" w:lineRule="auto"/>
              <w:rPr>
                <w:b/>
                <w:bCs/>
                <w:sz w:val="20"/>
                <w:szCs w:val="20"/>
              </w:rPr>
            </w:pPr>
            <w:r w:rsidRPr="00E44A35">
              <w:rPr>
                <w:b/>
                <w:bCs/>
                <w:sz w:val="20"/>
                <w:szCs w:val="20"/>
              </w:rPr>
              <w:t>3.2 Propojení zdravotní a sociální péče pro komplexní podporu pacientů</w:t>
            </w:r>
          </w:p>
        </w:tc>
        <w:tc>
          <w:tcPr>
            <w:tcW w:w="2268" w:type="dxa"/>
          </w:tcPr>
          <w:p w14:paraId="5A6F10DC" w14:textId="77777777" w:rsidR="00E44A35" w:rsidRPr="00E44A35" w:rsidRDefault="00E44A35" w:rsidP="00E44A35">
            <w:pPr>
              <w:spacing w:after="0" w:line="240" w:lineRule="auto"/>
              <w:rPr>
                <w:sz w:val="20"/>
                <w:szCs w:val="20"/>
              </w:rPr>
            </w:pPr>
            <w:r w:rsidRPr="00E44A35">
              <w:rPr>
                <w:sz w:val="20"/>
                <w:szCs w:val="20"/>
              </w:rPr>
              <w:t xml:space="preserve">MZD </w:t>
            </w:r>
          </w:p>
          <w:p w14:paraId="67212339" w14:textId="6DE08C30" w:rsidR="00E44A35" w:rsidRPr="00E44A35" w:rsidRDefault="00E44A35" w:rsidP="00E44A35">
            <w:pPr>
              <w:spacing w:after="0" w:line="240" w:lineRule="auto"/>
              <w:rPr>
                <w:sz w:val="20"/>
                <w:szCs w:val="20"/>
              </w:rPr>
            </w:pPr>
            <w:r w:rsidRPr="00E44A35">
              <w:rPr>
                <w:sz w:val="20"/>
                <w:szCs w:val="20"/>
              </w:rPr>
              <w:t>Odbor zdravotní péče</w:t>
            </w:r>
          </w:p>
        </w:tc>
        <w:tc>
          <w:tcPr>
            <w:tcW w:w="4536" w:type="dxa"/>
          </w:tcPr>
          <w:p w14:paraId="7D51341E" w14:textId="77777777" w:rsidR="00E44A35" w:rsidRPr="00E44A35" w:rsidRDefault="00E44A35" w:rsidP="00E44A35">
            <w:pPr>
              <w:spacing w:after="0" w:line="240" w:lineRule="auto"/>
              <w:jc w:val="both"/>
              <w:rPr>
                <w:sz w:val="20"/>
                <w:szCs w:val="20"/>
              </w:rPr>
            </w:pPr>
            <w:r w:rsidRPr="00E44A35">
              <w:rPr>
                <w:sz w:val="20"/>
                <w:szCs w:val="20"/>
              </w:rPr>
              <w:t>Ministerstvo práce a sociálních věcí ČR; kraje; poskytovatelé sociálních služeb; poskytovatelé zdravotní péče; zdravotní pojišťovny</w:t>
            </w:r>
          </w:p>
        </w:tc>
      </w:tr>
      <w:tr w:rsidR="00E44A35" w:rsidRPr="00E44A35" w14:paraId="00739F56" w14:textId="77777777" w:rsidTr="5BF5182F">
        <w:trPr>
          <w:trHeight w:val="144"/>
        </w:trPr>
        <w:tc>
          <w:tcPr>
            <w:tcW w:w="2263" w:type="dxa"/>
          </w:tcPr>
          <w:p w14:paraId="2F853616" w14:textId="77777777" w:rsidR="00E44A35" w:rsidRPr="00E44A35" w:rsidRDefault="00E44A35" w:rsidP="00E44A35">
            <w:pPr>
              <w:spacing w:after="0" w:line="240" w:lineRule="auto"/>
              <w:rPr>
                <w:b/>
                <w:bCs/>
                <w:sz w:val="20"/>
                <w:szCs w:val="20"/>
              </w:rPr>
            </w:pPr>
            <w:r w:rsidRPr="00E44A35">
              <w:rPr>
                <w:b/>
                <w:bCs/>
                <w:sz w:val="20"/>
                <w:szCs w:val="20"/>
              </w:rPr>
              <w:t>4.1 Posílení znalostí a dovedností zdravotnických pracovníků v oblasti vzácných onemocnění</w:t>
            </w:r>
          </w:p>
        </w:tc>
        <w:tc>
          <w:tcPr>
            <w:tcW w:w="2268" w:type="dxa"/>
          </w:tcPr>
          <w:p w14:paraId="2D9DFA9B" w14:textId="77777777" w:rsidR="00E44A35" w:rsidRPr="00E44A35" w:rsidRDefault="00E44A35" w:rsidP="00E44A35">
            <w:pPr>
              <w:spacing w:after="0" w:line="240" w:lineRule="auto"/>
              <w:rPr>
                <w:sz w:val="20"/>
                <w:szCs w:val="20"/>
              </w:rPr>
            </w:pPr>
            <w:r w:rsidRPr="00E44A35">
              <w:rPr>
                <w:sz w:val="20"/>
                <w:szCs w:val="20"/>
              </w:rPr>
              <w:t xml:space="preserve">MZD </w:t>
            </w:r>
          </w:p>
          <w:p w14:paraId="2478A796" w14:textId="358AEC74" w:rsidR="00E44A35" w:rsidRPr="00E44A35" w:rsidRDefault="00E44A35" w:rsidP="00E44A35">
            <w:pPr>
              <w:spacing w:after="0" w:line="240" w:lineRule="auto"/>
              <w:rPr>
                <w:sz w:val="20"/>
                <w:szCs w:val="20"/>
              </w:rPr>
            </w:pPr>
            <w:r w:rsidRPr="00E44A35">
              <w:rPr>
                <w:sz w:val="20"/>
                <w:szCs w:val="20"/>
              </w:rPr>
              <w:t>Sekce zdravotní péče</w:t>
            </w:r>
          </w:p>
        </w:tc>
        <w:tc>
          <w:tcPr>
            <w:tcW w:w="4536" w:type="dxa"/>
          </w:tcPr>
          <w:p w14:paraId="43C1E4CF" w14:textId="5D9E657F" w:rsidR="00E44A35" w:rsidRPr="00E44A35" w:rsidRDefault="59BEC3AB" w:rsidP="00E44A35">
            <w:pPr>
              <w:spacing w:after="0" w:line="240" w:lineRule="auto"/>
              <w:jc w:val="both"/>
              <w:rPr>
                <w:sz w:val="20"/>
                <w:szCs w:val="20"/>
              </w:rPr>
            </w:pPr>
            <w:r w:rsidRPr="5BF5182F">
              <w:rPr>
                <w:sz w:val="20"/>
                <w:szCs w:val="20"/>
              </w:rPr>
              <w:t xml:space="preserve">Institut postgraduálního vzdělávání ve zdravotnictví; Národní centrum ošetřovatelství </w:t>
            </w:r>
            <w:r w:rsidR="0DD58717" w:rsidRPr="5BF5182F">
              <w:rPr>
                <w:sz w:val="20"/>
                <w:szCs w:val="20"/>
              </w:rPr>
              <w:t xml:space="preserve">         </w:t>
            </w:r>
            <w:r w:rsidRPr="5BF5182F">
              <w:rPr>
                <w:sz w:val="20"/>
                <w:szCs w:val="20"/>
              </w:rPr>
              <w:t xml:space="preserve">a nelékařských zdravotnických oborů; lékařské </w:t>
            </w:r>
            <w:r w:rsidR="11DEBF03" w:rsidRPr="5BF5182F">
              <w:rPr>
                <w:sz w:val="20"/>
                <w:szCs w:val="20"/>
              </w:rPr>
              <w:t xml:space="preserve">     </w:t>
            </w:r>
            <w:r w:rsidR="00644157">
              <w:rPr>
                <w:sz w:val="20"/>
                <w:szCs w:val="20"/>
              </w:rPr>
              <w:t xml:space="preserve">    </w:t>
            </w:r>
            <w:r w:rsidR="11DEBF03" w:rsidRPr="5BF5182F">
              <w:rPr>
                <w:sz w:val="20"/>
                <w:szCs w:val="20"/>
              </w:rPr>
              <w:t xml:space="preserve"> </w:t>
            </w:r>
            <w:r w:rsidRPr="5BF5182F">
              <w:rPr>
                <w:sz w:val="20"/>
                <w:szCs w:val="20"/>
              </w:rPr>
              <w:t>a nelékařské fakulty; MZD – Odbor zdravotnických povolání; MZD – Odbor lékařských povolání; Česká lékařská komora; Česká asociace sester; Ministerstvo školství, mládeže a tělovýchovy; ČAVO; pacientské organizace</w:t>
            </w:r>
          </w:p>
        </w:tc>
      </w:tr>
      <w:tr w:rsidR="00E44A35" w:rsidRPr="00E44A35" w14:paraId="148FE9E7" w14:textId="77777777" w:rsidTr="5BF5182F">
        <w:trPr>
          <w:trHeight w:val="144"/>
        </w:trPr>
        <w:tc>
          <w:tcPr>
            <w:tcW w:w="2263" w:type="dxa"/>
          </w:tcPr>
          <w:p w14:paraId="6EB45A51" w14:textId="77777777" w:rsidR="00E44A35" w:rsidRPr="00E44A35" w:rsidRDefault="00E44A35" w:rsidP="00E44A35">
            <w:pPr>
              <w:spacing w:after="0" w:line="240" w:lineRule="auto"/>
              <w:rPr>
                <w:b/>
                <w:bCs/>
                <w:sz w:val="20"/>
                <w:szCs w:val="20"/>
              </w:rPr>
            </w:pPr>
            <w:r w:rsidRPr="00E44A35">
              <w:rPr>
                <w:b/>
                <w:bCs/>
                <w:sz w:val="20"/>
                <w:szCs w:val="20"/>
              </w:rPr>
              <w:t>4.2 Posílení mezinárodní spolupráce a spolupráce ve výzkumu</w:t>
            </w:r>
          </w:p>
        </w:tc>
        <w:tc>
          <w:tcPr>
            <w:tcW w:w="2268" w:type="dxa"/>
          </w:tcPr>
          <w:p w14:paraId="4B109E4E" w14:textId="77777777" w:rsidR="00E44A35" w:rsidRPr="00E44A35" w:rsidRDefault="00E44A35" w:rsidP="00E44A35">
            <w:pPr>
              <w:spacing w:after="0" w:line="240" w:lineRule="auto"/>
              <w:rPr>
                <w:sz w:val="20"/>
                <w:szCs w:val="20"/>
              </w:rPr>
            </w:pPr>
            <w:r w:rsidRPr="00E44A35">
              <w:rPr>
                <w:sz w:val="20"/>
                <w:szCs w:val="20"/>
              </w:rPr>
              <w:t xml:space="preserve">MZD </w:t>
            </w:r>
          </w:p>
          <w:p w14:paraId="17F9B87C" w14:textId="26F9752A" w:rsidR="00E44A35" w:rsidRPr="00E44A35" w:rsidRDefault="00E44A35" w:rsidP="00E44A35">
            <w:pPr>
              <w:spacing w:after="0" w:line="240" w:lineRule="auto"/>
              <w:rPr>
                <w:sz w:val="20"/>
                <w:szCs w:val="20"/>
              </w:rPr>
            </w:pPr>
            <w:r w:rsidRPr="00E44A35">
              <w:rPr>
                <w:sz w:val="20"/>
                <w:szCs w:val="20"/>
              </w:rPr>
              <w:t>Oddělení vědy, výzkumu a dotací na vzdělávání</w:t>
            </w:r>
          </w:p>
        </w:tc>
        <w:tc>
          <w:tcPr>
            <w:tcW w:w="4536" w:type="dxa"/>
          </w:tcPr>
          <w:p w14:paraId="62273101" w14:textId="77777777" w:rsidR="00E44A35" w:rsidRPr="00E44A35" w:rsidRDefault="00E44A35" w:rsidP="00E44A35">
            <w:pPr>
              <w:spacing w:after="0" w:line="240" w:lineRule="auto"/>
              <w:jc w:val="both"/>
              <w:rPr>
                <w:sz w:val="20"/>
                <w:szCs w:val="20"/>
              </w:rPr>
            </w:pPr>
            <w:r w:rsidRPr="00E44A35">
              <w:rPr>
                <w:sz w:val="20"/>
                <w:szCs w:val="20"/>
              </w:rPr>
              <w:t>Poskytovatelé zdravotních služeb; pacientské organizace; Česká lékařská společnost Jana Evangelisty Purkyně; Agentura pro zdravotnický výzkum ČR; Grantová agentura ČR; Akademie věd ČR; velké výzkumné infrastruktury</w:t>
            </w:r>
          </w:p>
        </w:tc>
      </w:tr>
      <w:tr w:rsidR="00E44A35" w:rsidRPr="00E44A35" w14:paraId="506CF87A" w14:textId="77777777" w:rsidTr="5BF5182F">
        <w:trPr>
          <w:trHeight w:val="144"/>
        </w:trPr>
        <w:tc>
          <w:tcPr>
            <w:tcW w:w="2263" w:type="dxa"/>
          </w:tcPr>
          <w:p w14:paraId="700D0407" w14:textId="77777777" w:rsidR="00E44A35" w:rsidRPr="00E44A35" w:rsidRDefault="00E44A35" w:rsidP="00E44A35">
            <w:pPr>
              <w:spacing w:after="0" w:line="240" w:lineRule="auto"/>
              <w:rPr>
                <w:b/>
                <w:bCs/>
                <w:sz w:val="20"/>
                <w:szCs w:val="20"/>
              </w:rPr>
            </w:pPr>
            <w:r w:rsidRPr="00E44A35">
              <w:rPr>
                <w:b/>
                <w:bCs/>
                <w:sz w:val="20"/>
                <w:szCs w:val="20"/>
              </w:rPr>
              <w:t>4.3 Zlepšení informovanosti o problematice vzácných onemocnění</w:t>
            </w:r>
          </w:p>
        </w:tc>
        <w:tc>
          <w:tcPr>
            <w:tcW w:w="2268" w:type="dxa"/>
          </w:tcPr>
          <w:p w14:paraId="3E607AD4" w14:textId="77777777" w:rsidR="00E44A35" w:rsidRPr="00E44A35" w:rsidRDefault="00E44A35" w:rsidP="00E44A35">
            <w:pPr>
              <w:spacing w:after="0" w:line="240" w:lineRule="auto"/>
              <w:rPr>
                <w:sz w:val="20"/>
                <w:szCs w:val="20"/>
              </w:rPr>
            </w:pPr>
            <w:r w:rsidRPr="00E44A35">
              <w:rPr>
                <w:sz w:val="20"/>
                <w:szCs w:val="20"/>
              </w:rPr>
              <w:t>Ústav zdravotnických informací a statistiky ČR (ÚZIS)</w:t>
            </w:r>
          </w:p>
        </w:tc>
        <w:tc>
          <w:tcPr>
            <w:tcW w:w="4536" w:type="dxa"/>
          </w:tcPr>
          <w:p w14:paraId="1654DB47" w14:textId="0D514763" w:rsidR="00E44A35" w:rsidRPr="00E44A35" w:rsidRDefault="00E44A35" w:rsidP="00E44A35">
            <w:pPr>
              <w:spacing w:after="0" w:line="240" w:lineRule="auto"/>
              <w:jc w:val="both"/>
              <w:rPr>
                <w:sz w:val="20"/>
                <w:szCs w:val="20"/>
              </w:rPr>
            </w:pPr>
            <w:r w:rsidRPr="00E44A35">
              <w:rPr>
                <w:sz w:val="20"/>
                <w:szCs w:val="20"/>
              </w:rPr>
              <w:t xml:space="preserve">Pacientské organizace; Česká lékařská společnost Jana Evangelisty Purkyně; poskytovatelé zdravotních služeb; MZD – Odbor komunikace </w:t>
            </w:r>
            <w:r w:rsidR="00644157">
              <w:rPr>
                <w:sz w:val="20"/>
                <w:szCs w:val="20"/>
              </w:rPr>
              <w:t xml:space="preserve">            </w:t>
            </w:r>
            <w:r w:rsidRPr="00E44A35">
              <w:rPr>
                <w:sz w:val="20"/>
                <w:szCs w:val="20"/>
              </w:rPr>
              <w:t>s veřejností; MZD – Odbor zdravotní péče</w:t>
            </w:r>
          </w:p>
        </w:tc>
      </w:tr>
      <w:tr w:rsidR="00E44A35" w:rsidRPr="00E44A35" w14:paraId="47AE7EB2" w14:textId="77777777" w:rsidTr="5BF5182F">
        <w:trPr>
          <w:trHeight w:val="811"/>
        </w:trPr>
        <w:tc>
          <w:tcPr>
            <w:tcW w:w="2263" w:type="dxa"/>
          </w:tcPr>
          <w:p w14:paraId="7F85374F" w14:textId="77777777" w:rsidR="00E44A35" w:rsidRPr="00E44A35" w:rsidRDefault="00E44A35" w:rsidP="00E44A35">
            <w:pPr>
              <w:spacing w:after="0" w:line="240" w:lineRule="auto"/>
              <w:rPr>
                <w:b/>
                <w:bCs/>
                <w:sz w:val="20"/>
                <w:szCs w:val="20"/>
              </w:rPr>
            </w:pPr>
            <w:r w:rsidRPr="00E44A35">
              <w:rPr>
                <w:b/>
                <w:bCs/>
                <w:sz w:val="20"/>
                <w:szCs w:val="20"/>
              </w:rPr>
              <w:t>5.1 Jednotná data o pacientech se vzácnými onemocněními</w:t>
            </w:r>
          </w:p>
        </w:tc>
        <w:tc>
          <w:tcPr>
            <w:tcW w:w="2268" w:type="dxa"/>
          </w:tcPr>
          <w:p w14:paraId="34A7CD7B" w14:textId="77777777" w:rsidR="00E44A35" w:rsidRPr="00E44A35" w:rsidRDefault="00E44A35" w:rsidP="00E44A35">
            <w:pPr>
              <w:spacing w:after="0" w:line="240" w:lineRule="auto"/>
              <w:rPr>
                <w:sz w:val="20"/>
                <w:szCs w:val="20"/>
              </w:rPr>
            </w:pPr>
            <w:r w:rsidRPr="00E44A35">
              <w:rPr>
                <w:sz w:val="20"/>
                <w:szCs w:val="20"/>
              </w:rPr>
              <w:t>Ústav zdravotnických informací a statistiky ČR (ÚZIS)</w:t>
            </w:r>
          </w:p>
        </w:tc>
        <w:tc>
          <w:tcPr>
            <w:tcW w:w="4536" w:type="dxa"/>
          </w:tcPr>
          <w:p w14:paraId="2482C439" w14:textId="77777777" w:rsidR="00E44A35" w:rsidRPr="00E44A35" w:rsidRDefault="00E44A35" w:rsidP="00E44A35">
            <w:pPr>
              <w:spacing w:after="0" w:line="240" w:lineRule="auto"/>
              <w:jc w:val="both"/>
              <w:rPr>
                <w:sz w:val="20"/>
                <w:szCs w:val="20"/>
              </w:rPr>
            </w:pPr>
            <w:r w:rsidRPr="00E44A35">
              <w:rPr>
                <w:sz w:val="20"/>
                <w:szCs w:val="20"/>
              </w:rPr>
              <w:t>Poskytovatelé zdravotních služeb</w:t>
            </w:r>
          </w:p>
        </w:tc>
      </w:tr>
      <w:tr w:rsidR="00E44A35" w:rsidRPr="00E44A35" w14:paraId="6DFCEEC3" w14:textId="77777777" w:rsidTr="5BF5182F">
        <w:trPr>
          <w:trHeight w:val="144"/>
        </w:trPr>
        <w:tc>
          <w:tcPr>
            <w:tcW w:w="2263" w:type="dxa"/>
          </w:tcPr>
          <w:p w14:paraId="0C3F5127" w14:textId="77777777" w:rsidR="00E44A35" w:rsidRPr="00E44A35" w:rsidRDefault="00E44A35" w:rsidP="00E44A35">
            <w:pPr>
              <w:spacing w:after="0" w:line="240" w:lineRule="auto"/>
              <w:rPr>
                <w:b/>
                <w:bCs/>
                <w:sz w:val="20"/>
                <w:szCs w:val="20"/>
              </w:rPr>
            </w:pPr>
            <w:r w:rsidRPr="00E44A35">
              <w:rPr>
                <w:b/>
                <w:bCs/>
                <w:sz w:val="20"/>
                <w:szCs w:val="20"/>
              </w:rPr>
              <w:t>5.2 Data o pacientech se vzácnými onemocněními ve zdravotnických registrech</w:t>
            </w:r>
          </w:p>
        </w:tc>
        <w:tc>
          <w:tcPr>
            <w:tcW w:w="2268" w:type="dxa"/>
          </w:tcPr>
          <w:p w14:paraId="7418FA84" w14:textId="77777777" w:rsidR="00E44A35" w:rsidRPr="00E44A35" w:rsidRDefault="00E44A35" w:rsidP="00E44A35">
            <w:pPr>
              <w:spacing w:after="0" w:line="240" w:lineRule="auto"/>
              <w:rPr>
                <w:sz w:val="20"/>
                <w:szCs w:val="20"/>
              </w:rPr>
            </w:pPr>
            <w:r w:rsidRPr="00E44A35">
              <w:rPr>
                <w:sz w:val="20"/>
                <w:szCs w:val="20"/>
              </w:rPr>
              <w:t>Ústav zdravotnických informací a statistiky ČR (ÚZIS)</w:t>
            </w:r>
          </w:p>
        </w:tc>
        <w:tc>
          <w:tcPr>
            <w:tcW w:w="4536" w:type="dxa"/>
          </w:tcPr>
          <w:p w14:paraId="7D4F8060" w14:textId="77777777" w:rsidR="00E44A35" w:rsidRPr="00E44A35" w:rsidRDefault="00E44A35" w:rsidP="00E44A35">
            <w:pPr>
              <w:spacing w:after="0" w:line="240" w:lineRule="auto"/>
              <w:jc w:val="both"/>
              <w:rPr>
                <w:sz w:val="20"/>
                <w:szCs w:val="20"/>
              </w:rPr>
            </w:pPr>
            <w:r w:rsidRPr="00E44A35">
              <w:rPr>
                <w:sz w:val="20"/>
                <w:szCs w:val="20"/>
              </w:rPr>
              <w:t>Poskytovatelé zdravotních služeb</w:t>
            </w:r>
          </w:p>
        </w:tc>
      </w:tr>
      <w:tr w:rsidR="00E44A35" w:rsidRPr="00E44A35" w14:paraId="733CB5AE" w14:textId="77777777" w:rsidTr="5BF5182F">
        <w:trPr>
          <w:trHeight w:val="869"/>
        </w:trPr>
        <w:tc>
          <w:tcPr>
            <w:tcW w:w="2263" w:type="dxa"/>
          </w:tcPr>
          <w:p w14:paraId="1B60B3D7" w14:textId="77777777" w:rsidR="00E44A35" w:rsidRPr="00E44A35" w:rsidRDefault="00E44A35" w:rsidP="00E44A35">
            <w:pPr>
              <w:spacing w:after="0" w:line="240" w:lineRule="auto"/>
              <w:rPr>
                <w:b/>
                <w:bCs/>
                <w:sz w:val="20"/>
                <w:szCs w:val="20"/>
              </w:rPr>
            </w:pPr>
            <w:r w:rsidRPr="00E44A35">
              <w:rPr>
                <w:b/>
                <w:bCs/>
                <w:sz w:val="20"/>
                <w:szCs w:val="20"/>
              </w:rPr>
              <w:t>5.3 Sekundární využití dat o vzácných onemocněních</w:t>
            </w:r>
          </w:p>
        </w:tc>
        <w:tc>
          <w:tcPr>
            <w:tcW w:w="2268" w:type="dxa"/>
          </w:tcPr>
          <w:p w14:paraId="67E00277" w14:textId="77777777" w:rsidR="00E44A35" w:rsidRPr="00E44A35" w:rsidRDefault="00E44A35" w:rsidP="00E44A35">
            <w:pPr>
              <w:spacing w:after="0" w:line="240" w:lineRule="auto"/>
              <w:rPr>
                <w:sz w:val="20"/>
                <w:szCs w:val="20"/>
              </w:rPr>
            </w:pPr>
            <w:r w:rsidRPr="00E44A35">
              <w:rPr>
                <w:sz w:val="20"/>
                <w:szCs w:val="20"/>
              </w:rPr>
              <w:t>Ústav zdravotnických informací a statistiky ČR (ÚZIS)</w:t>
            </w:r>
          </w:p>
        </w:tc>
        <w:tc>
          <w:tcPr>
            <w:tcW w:w="4536" w:type="dxa"/>
          </w:tcPr>
          <w:p w14:paraId="17CB7463" w14:textId="77777777" w:rsidR="00E44A35" w:rsidRPr="00E44A35" w:rsidRDefault="00E44A35" w:rsidP="00E44A35">
            <w:pPr>
              <w:spacing w:after="0" w:line="240" w:lineRule="auto"/>
              <w:jc w:val="both"/>
              <w:rPr>
                <w:sz w:val="20"/>
                <w:szCs w:val="20"/>
              </w:rPr>
            </w:pPr>
            <w:r w:rsidRPr="00E44A35">
              <w:rPr>
                <w:sz w:val="20"/>
                <w:szCs w:val="20"/>
              </w:rPr>
              <w:t>Poskytovatelé zdravotních služeb</w:t>
            </w:r>
          </w:p>
        </w:tc>
      </w:tr>
    </w:tbl>
    <w:p w14:paraId="03CD0CF8" w14:textId="376D7C40" w:rsidR="00AF0805" w:rsidRDefault="00AF0805" w:rsidP="00E44A35">
      <w:pPr>
        <w:jc w:val="both"/>
      </w:pPr>
    </w:p>
    <w:p w14:paraId="6C7740B0" w14:textId="1ACF39FE" w:rsidR="00D8608F" w:rsidRPr="00D8608F" w:rsidRDefault="00D8608F" w:rsidP="006A1B40">
      <w:pPr>
        <w:pStyle w:val="Nadpis1"/>
      </w:pPr>
      <w:r w:rsidRPr="00D8608F">
        <w:lastRenderedPageBreak/>
        <w:t>Harmonogram realizace</w:t>
      </w:r>
    </w:p>
    <w:p w14:paraId="26878699" w14:textId="4F0FF5C8" w:rsidR="0069379A" w:rsidRDefault="0896AE48" w:rsidP="0069379A">
      <w:pPr>
        <w:jc w:val="both"/>
      </w:pPr>
      <w:r>
        <w:t>Implementace N</w:t>
      </w:r>
      <w:r w:rsidR="736EFE73">
        <w:t>SVO</w:t>
      </w:r>
      <w:r>
        <w:t xml:space="preserve"> probíhá prostřednictvím pěti samostatných implementačních plánů </w:t>
      </w:r>
      <w:r w:rsidR="09DE5361">
        <w:t xml:space="preserve">   </w:t>
      </w:r>
      <w:r w:rsidR="00644157">
        <w:t xml:space="preserve">    </w:t>
      </w:r>
      <w:proofErr w:type="gramStart"/>
      <w:r w:rsidR="00644157">
        <w:t xml:space="preserve">   </w:t>
      </w:r>
      <w:r>
        <w:t>(</w:t>
      </w:r>
      <w:proofErr w:type="gramEnd"/>
      <w:r>
        <w:t xml:space="preserve">IP1–IP5), které jsou zpracovány pro celé období platnosti NSVO, tj. </w:t>
      </w:r>
      <w:r w:rsidRPr="5BF5182F">
        <w:rPr>
          <w:b/>
          <w:bCs/>
        </w:rPr>
        <w:t>2026–2035</w:t>
      </w:r>
      <w:r>
        <w:t>.</w:t>
      </w:r>
    </w:p>
    <w:p w14:paraId="70FF8FB0" w14:textId="40CB57BD" w:rsidR="0069379A" w:rsidRDefault="0896AE48" w:rsidP="0069379A">
      <w:pPr>
        <w:jc w:val="both"/>
      </w:pPr>
      <w:r>
        <w:t xml:space="preserve">Realizace strategie je rozdělena do tří na sebe navazujících </w:t>
      </w:r>
      <w:r w:rsidRPr="034C28CC">
        <w:rPr>
          <w:b/>
          <w:bCs/>
        </w:rPr>
        <w:t>tříletých implementačních období</w:t>
      </w:r>
      <w:r>
        <w:t>, která umožňují postupný rozvoj, průběžné vyhodnocování a případnou aktualizaci opatření</w:t>
      </w:r>
      <w:r w:rsidR="79881056">
        <w:t>.</w:t>
      </w:r>
      <w:r w:rsidR="65C8B88A">
        <w:t xml:space="preserve">           </w:t>
      </w:r>
      <w:r w:rsidR="00644157">
        <w:t xml:space="preserve">     </w:t>
      </w:r>
      <w:r w:rsidR="79881056">
        <w:t>V jednotlivých implementačních obdobích jsou v rámci implementačních plánů definována konkrétní opatření, aktivity a indikátory, které umožňují průběžné hodnocení plnění cílů NSVO.</w:t>
      </w:r>
    </w:p>
    <w:p w14:paraId="60A23551" w14:textId="6D7D7EA0" w:rsidR="002960DB" w:rsidRDefault="002960DB" w:rsidP="0069379A">
      <w:pPr>
        <w:jc w:val="both"/>
      </w:pPr>
      <w:r>
        <w:t>Pro každé tříleté období jsou v rámci jednotlivých implementačních plánů dle prioritizace definována konkrétní opatření, jejich aktivity a indikátory, které umožňují průběžné hodnocení plnění cílů NSVO (viz níž).</w:t>
      </w:r>
    </w:p>
    <w:p w14:paraId="5933A99B" w14:textId="66FAEB20" w:rsidR="002960DB" w:rsidRDefault="002960DB" w:rsidP="002960DB">
      <w:r>
        <w:rPr>
          <w:b/>
          <w:bCs/>
        </w:rPr>
        <w:t>Implementační f</w:t>
      </w:r>
      <w:r w:rsidRPr="002960DB">
        <w:rPr>
          <w:b/>
          <w:bCs/>
        </w:rPr>
        <w:t>áze 1 (2027–2029) – Stabilizace a vytvoření základní páteře systému</w:t>
      </w:r>
    </w:p>
    <w:p w14:paraId="45F9A924" w14:textId="021CEB3A" w:rsidR="002960DB" w:rsidRPr="002960DB" w:rsidRDefault="79881056" w:rsidP="002960DB">
      <w:pPr>
        <w:spacing w:before="120"/>
        <w:jc w:val="both"/>
      </w:pPr>
      <w:r>
        <w:t>Zaměřena na nastavení systémového rámce, vymezení rolí a odpovědností, tvorbu metodik</w:t>
      </w:r>
      <w:r w:rsidR="75605FAA">
        <w:t xml:space="preserve">          </w:t>
      </w:r>
      <w:r w:rsidR="00644157">
        <w:t xml:space="preserve">       </w:t>
      </w:r>
      <w:r w:rsidR="75605FAA">
        <w:t xml:space="preserve"> </w:t>
      </w:r>
      <w:r>
        <w:t>a pilotní ověřování nástrojů. Cílem je vybudovat základní „páteř“ systému péče o pacienty se vzácnými onemocněními, zejména v oblasti koordinace péče, datové infrastruktury a standardů péče, a zahájit opatření s nejvyšším dopadem na pacienty.</w:t>
      </w:r>
    </w:p>
    <w:p w14:paraId="53A15DA4" w14:textId="02616949" w:rsidR="002960DB" w:rsidRDefault="002960DB" w:rsidP="002960DB">
      <w:pPr>
        <w:rPr>
          <w:b/>
          <w:bCs/>
        </w:rPr>
      </w:pPr>
      <w:r>
        <w:rPr>
          <w:b/>
          <w:bCs/>
        </w:rPr>
        <w:t>Implementační f</w:t>
      </w:r>
      <w:r w:rsidRPr="002960DB">
        <w:rPr>
          <w:b/>
          <w:bCs/>
        </w:rPr>
        <w:t>áze 2 (2030–2032) – Rozvoj a škálování</w:t>
      </w:r>
    </w:p>
    <w:p w14:paraId="15DAB082" w14:textId="5D3AE88F" w:rsidR="002960DB" w:rsidRPr="002960DB" w:rsidRDefault="79881056" w:rsidP="002960DB">
      <w:pPr>
        <w:jc w:val="both"/>
      </w:pPr>
      <w:r>
        <w:t xml:space="preserve">Zaměřena na rozšíření a systematickou implementaci ověřených opatření v praxi, posílení institucionálních a personálních kapacit a rozvoj meziresortní spolupráce. Cílem je rozšířit služby, digitalizaci a vzdělávání napříč systémem, převést pilotní nástroje do standardní praxe </w:t>
      </w:r>
      <w:r w:rsidR="5D9984CF">
        <w:t xml:space="preserve">    </w:t>
      </w:r>
      <w:r w:rsidR="00644157">
        <w:t xml:space="preserve">                          </w:t>
      </w:r>
      <w:r>
        <w:t>a škálovat je do dalších center a regionů.</w:t>
      </w:r>
    </w:p>
    <w:p w14:paraId="35DC1E37" w14:textId="13AE3F51" w:rsidR="002960DB" w:rsidRDefault="002960DB" w:rsidP="002960DB">
      <w:pPr>
        <w:spacing w:before="120"/>
        <w:jc w:val="both"/>
        <w:rPr>
          <w:b/>
          <w:bCs/>
        </w:rPr>
      </w:pPr>
      <w:r>
        <w:rPr>
          <w:b/>
          <w:bCs/>
        </w:rPr>
        <w:t>Implementační f</w:t>
      </w:r>
      <w:r w:rsidRPr="002960DB">
        <w:rPr>
          <w:b/>
          <w:bCs/>
        </w:rPr>
        <w:t>áze 3 (2033–2035) – Konsolidace a inovace</w:t>
      </w:r>
    </w:p>
    <w:p w14:paraId="7C1B8292" w14:textId="18DB4097" w:rsidR="002960DB" w:rsidRDefault="002960DB" w:rsidP="78C5DBBA">
      <w:pPr>
        <w:spacing w:before="120"/>
        <w:jc w:val="both"/>
      </w:pPr>
      <w:r>
        <w:t>Zaměřena na stabilizaci a dlouhodobou udržitelnost zavedených mechanismů a komplexní evaluaci dosažených dopadů. Cílem je rozvoj pokročilých analytických nástrojů (včetně HTA), podpora mezinárodní spolupráce a integrace inovativních přístupů, včetně telemedicíny, do standardní péče, a konsolidace vzdělávání a výzkumných aktivit.</w:t>
      </w:r>
    </w:p>
    <w:p w14:paraId="561B1088" w14:textId="216FF17C" w:rsidR="13FA9548" w:rsidRDefault="13FA9548" w:rsidP="78C5DBBA">
      <w:pPr>
        <w:spacing w:before="120"/>
        <w:jc w:val="both"/>
        <w:rPr>
          <w:b/>
          <w:bCs/>
        </w:rPr>
      </w:pPr>
      <w:r w:rsidRPr="78C5DBBA">
        <w:rPr>
          <w:b/>
          <w:bCs/>
        </w:rPr>
        <w:t xml:space="preserve">Pro účely efektivního řízení implementace budou: </w:t>
      </w:r>
    </w:p>
    <w:p w14:paraId="71870B4C" w14:textId="1D35DF5C" w:rsidR="13FA9548" w:rsidRDefault="13FA9548" w:rsidP="78C5DBBA">
      <w:pPr>
        <w:pStyle w:val="Odstavecseseznamem"/>
        <w:numPr>
          <w:ilvl w:val="0"/>
          <w:numId w:val="1"/>
        </w:numPr>
        <w:spacing w:before="120"/>
        <w:jc w:val="both"/>
      </w:pPr>
      <w:r>
        <w:t xml:space="preserve">stanoveny roční milníky realizace, </w:t>
      </w:r>
    </w:p>
    <w:p w14:paraId="6162C195" w14:textId="001A7E2C" w:rsidR="13FA9548" w:rsidRDefault="13FA9548" w:rsidP="78C5DBBA">
      <w:pPr>
        <w:pStyle w:val="Odstavecseseznamem"/>
        <w:numPr>
          <w:ilvl w:val="0"/>
          <w:numId w:val="1"/>
        </w:numPr>
        <w:spacing w:before="120"/>
        <w:jc w:val="both"/>
      </w:pPr>
      <w:r>
        <w:t xml:space="preserve">definovány průběžné kontrolní body, </w:t>
      </w:r>
    </w:p>
    <w:p w14:paraId="29222943" w14:textId="77ADB3A7" w:rsidR="13FA9548" w:rsidRDefault="13FA9548" w:rsidP="78C5DBBA">
      <w:pPr>
        <w:pStyle w:val="Odstavecseseznamem"/>
        <w:numPr>
          <w:ilvl w:val="0"/>
          <w:numId w:val="1"/>
        </w:numPr>
        <w:spacing w:before="120"/>
        <w:jc w:val="both"/>
      </w:pPr>
      <w:r>
        <w:t xml:space="preserve">zaveden mechanismus aktualizace harmonogramu na základě dosažených výsledků. </w:t>
      </w:r>
    </w:p>
    <w:p w14:paraId="07E93A10" w14:textId="2EDF0913" w:rsidR="13FA9548" w:rsidRDefault="13FA9548" w:rsidP="78C5DBBA">
      <w:pPr>
        <w:spacing w:before="120"/>
        <w:jc w:val="both"/>
      </w:pPr>
      <w:r>
        <w:t xml:space="preserve">Po ukončení každého implementačního období bude provedeno systematické vyhodnocení </w:t>
      </w:r>
      <w:r w:rsidR="00644157">
        <w:t xml:space="preserve">              </w:t>
      </w:r>
      <w:r>
        <w:t>a případná revize další fáze implementace.</w:t>
      </w:r>
    </w:p>
    <w:p w14:paraId="51C0A18D" w14:textId="2CDB3EF6" w:rsidR="003D7C3C" w:rsidRPr="002960DB" w:rsidRDefault="00583D25" w:rsidP="002960DB">
      <w:pPr>
        <w:pStyle w:val="Nadpis1"/>
      </w:pPr>
      <w:r w:rsidRPr="002960DB">
        <w:t>Strategický rámec realizace NSVO</w:t>
      </w:r>
    </w:p>
    <w:p w14:paraId="1D666FF9" w14:textId="41EB9A92" w:rsidR="00C11B13" w:rsidRPr="00C11B13" w:rsidRDefault="10668339" w:rsidP="00C11B13">
      <w:pPr>
        <w:jc w:val="both"/>
      </w:pPr>
      <w:r>
        <w:t>Strategický rámec realizace představuje obsahovou architekturu implementace N</w:t>
      </w:r>
      <w:r w:rsidR="53CA5A27">
        <w:t>SVO</w:t>
      </w:r>
      <w:r>
        <w:t>. Navazuje na harmonogram realizace a řídicí strukturu uvedené v předchozích kapitolách</w:t>
      </w:r>
      <w:r w:rsidR="00644157">
        <w:t xml:space="preserve"> </w:t>
      </w:r>
      <w:r>
        <w:t>a poskytuje systematické uspořádání</w:t>
      </w:r>
      <w:r w:rsidR="79881056">
        <w:t xml:space="preserve"> konkrétních</w:t>
      </w:r>
      <w:r>
        <w:t xml:space="preserve"> opatření napříč jednotlivými implementačními plány.</w:t>
      </w:r>
    </w:p>
    <w:p w14:paraId="7DE261CB" w14:textId="77777777" w:rsidR="00C11B13" w:rsidRPr="00C11B13" w:rsidRDefault="00C11B13" w:rsidP="00C11B13">
      <w:r w:rsidRPr="00C11B13">
        <w:t>Cílem této kapitoly je:</w:t>
      </w:r>
    </w:p>
    <w:p w14:paraId="70CEADBE" w14:textId="2C32A46E" w:rsidR="00C11B13" w:rsidRPr="00C11B13" w:rsidRDefault="00C11B13" w:rsidP="00CB25AE">
      <w:pPr>
        <w:pStyle w:val="Odstavecseseznamem"/>
        <w:numPr>
          <w:ilvl w:val="0"/>
          <w:numId w:val="18"/>
        </w:numPr>
      </w:pPr>
      <w:r w:rsidRPr="00C11B13">
        <w:t>vymezit hlavní tematické pilíře realizace</w:t>
      </w:r>
    </w:p>
    <w:p w14:paraId="43EC3BBF" w14:textId="6BD15840" w:rsidR="00C11B13" w:rsidRPr="00C11B13" w:rsidRDefault="00C11B13" w:rsidP="00CB25AE">
      <w:pPr>
        <w:pStyle w:val="Odstavecseseznamem"/>
        <w:numPr>
          <w:ilvl w:val="0"/>
          <w:numId w:val="18"/>
        </w:numPr>
      </w:pPr>
      <w:r w:rsidRPr="00C11B13">
        <w:lastRenderedPageBreak/>
        <w:t>stanovit prioritizační logiku implementace</w:t>
      </w:r>
      <w:r w:rsidR="002960DB">
        <w:t xml:space="preserve"> (a jednotlivých opatření)</w:t>
      </w:r>
    </w:p>
    <w:p w14:paraId="58BCF39D" w14:textId="402BC775" w:rsidR="00C11B13" w:rsidRPr="00C11B13" w:rsidRDefault="00C11B13" w:rsidP="00CB25AE">
      <w:pPr>
        <w:pStyle w:val="Odstavecseseznamem"/>
        <w:numPr>
          <w:ilvl w:val="0"/>
          <w:numId w:val="18"/>
        </w:numPr>
      </w:pPr>
      <w:r w:rsidRPr="00C11B13">
        <w:t>popsat klíčové vzájemné závislosti mezi opatřeními</w:t>
      </w:r>
    </w:p>
    <w:p w14:paraId="63DAB715" w14:textId="6A8FB462" w:rsidR="00C11B13" w:rsidRPr="00C11B13" w:rsidRDefault="00C11B13" w:rsidP="00CB25AE">
      <w:pPr>
        <w:pStyle w:val="Odstavecseseznamem"/>
        <w:numPr>
          <w:ilvl w:val="0"/>
          <w:numId w:val="18"/>
        </w:numPr>
      </w:pPr>
      <w:r w:rsidRPr="00C11B13">
        <w:t>vytvořit jednotný rámec pro rozhodování, řízení a evaluaci</w:t>
      </w:r>
    </w:p>
    <w:p w14:paraId="58AE93CB" w14:textId="7DFFC4DF" w:rsidR="00C11B13" w:rsidRDefault="00C11B13" w:rsidP="00C11B13">
      <w:pPr>
        <w:jc w:val="both"/>
      </w:pPr>
      <w:r w:rsidRPr="00C11B13">
        <w:t xml:space="preserve">Strategický rámec </w:t>
      </w:r>
      <w:r>
        <w:t xml:space="preserve">organizuje </w:t>
      </w:r>
      <w:r w:rsidRPr="00C11B13">
        <w:t>opatření NSVO do logických celků a stanovuje jejich implementační prioritu.</w:t>
      </w:r>
    </w:p>
    <w:p w14:paraId="2611019A" w14:textId="2D92C2CC" w:rsidR="003B0F1F" w:rsidRPr="00644157" w:rsidRDefault="003B0F1F" w:rsidP="78C5DBBA">
      <w:pPr>
        <w:pStyle w:val="Nadpis2"/>
      </w:pPr>
      <w:r w:rsidRPr="00644157">
        <w:t>Tematická architektura implementace</w:t>
      </w:r>
    </w:p>
    <w:p w14:paraId="757747A3" w14:textId="7A20FBEA" w:rsidR="003B0F1F" w:rsidRPr="003B0F1F" w:rsidRDefault="003B0F1F" w:rsidP="003B0F1F">
      <w:pPr>
        <w:jc w:val="both"/>
      </w:pPr>
      <w:r w:rsidRPr="003B0F1F">
        <w:t>Opatření NSVO jsou pro účely realizace sdružena do šesti tematických bloků, které představují systémové pilíře implementace</w:t>
      </w:r>
      <w:r w:rsidR="00026367">
        <w:t xml:space="preserve">. </w:t>
      </w:r>
      <w:r w:rsidR="00026367" w:rsidRPr="003B0F1F">
        <w:t>Tato tematická architektura umožňuje přehledné řízení implementace a zároveň respektuje průřezový charakter jednotlivých opatření.</w:t>
      </w:r>
    </w:p>
    <w:p w14:paraId="7C04239F" w14:textId="57E37806" w:rsidR="003B0F1F" w:rsidRPr="003B0F1F" w:rsidRDefault="002960DB" w:rsidP="006060B7">
      <w:pPr>
        <w:jc w:val="both"/>
        <w:rPr>
          <w:b/>
          <w:bCs/>
        </w:rPr>
      </w:pPr>
      <w:r>
        <w:rPr>
          <w:b/>
          <w:bCs/>
        </w:rPr>
        <w:t>I</w:t>
      </w:r>
      <w:r w:rsidR="003B0F1F" w:rsidRPr="003B0F1F">
        <w:rPr>
          <w:b/>
          <w:bCs/>
        </w:rPr>
        <w:t>. Koordinace a kontinuita péče</w:t>
      </w:r>
    </w:p>
    <w:p w14:paraId="45D78678" w14:textId="5066C9F8" w:rsidR="003B0F1F" w:rsidRPr="003B0F1F" w:rsidRDefault="003B0F1F" w:rsidP="003B0F1F">
      <w:pPr>
        <w:jc w:val="both"/>
      </w:pPr>
      <w:r>
        <w:t xml:space="preserve">Zaměřuje se na zavedení role koordinátora péče, rozvoj case managementu, nastavení přechodové péče a propojení zdravotních a sociálních služeb. Cílem je snížit fragmentaci systému a zajistit kontinuitu péče napříč </w:t>
      </w:r>
      <w:r w:rsidR="0FB2B229">
        <w:t xml:space="preserve">systémy péče a </w:t>
      </w:r>
      <w:r>
        <w:t>životními fázemi pacienta.</w:t>
      </w:r>
    </w:p>
    <w:p w14:paraId="784E7F3C" w14:textId="0A73C6EE" w:rsidR="003B0F1F" w:rsidRPr="003B0F1F" w:rsidRDefault="002960DB" w:rsidP="006060B7">
      <w:pPr>
        <w:jc w:val="both"/>
        <w:rPr>
          <w:b/>
          <w:bCs/>
        </w:rPr>
      </w:pPr>
      <w:r>
        <w:rPr>
          <w:b/>
          <w:bCs/>
        </w:rPr>
        <w:t>II</w:t>
      </w:r>
      <w:r w:rsidR="003B0F1F" w:rsidRPr="003B0F1F">
        <w:rPr>
          <w:b/>
          <w:bCs/>
        </w:rPr>
        <w:t>. Centralizace a síťování odborné péče</w:t>
      </w:r>
    </w:p>
    <w:p w14:paraId="7674123C" w14:textId="77777777" w:rsidR="003B0F1F" w:rsidRPr="003B0F1F" w:rsidRDefault="003B0F1F" w:rsidP="003B0F1F">
      <w:pPr>
        <w:jc w:val="both"/>
      </w:pPr>
      <w:r w:rsidRPr="003B0F1F">
        <w:t>Posiluje roli center vysoce specializované péče (CVSP-VO), jejich síťování a mezinárodní spolupráci (např. v rámci ERN). Součástí je nastavování indikátorů kvality, modernizace technologií a struktura péče pro nediagnostikovaná vzácná onemocnění.</w:t>
      </w:r>
    </w:p>
    <w:p w14:paraId="5DEC884C" w14:textId="4D680403" w:rsidR="003B0F1F" w:rsidRPr="003B0F1F" w:rsidRDefault="00026367" w:rsidP="006060B7">
      <w:pPr>
        <w:jc w:val="both"/>
        <w:rPr>
          <w:b/>
          <w:bCs/>
        </w:rPr>
      </w:pPr>
      <w:r>
        <w:rPr>
          <w:b/>
          <w:bCs/>
        </w:rPr>
        <w:t>III</w:t>
      </w:r>
      <w:r w:rsidR="003B0F1F" w:rsidRPr="003B0F1F">
        <w:rPr>
          <w:b/>
          <w:bCs/>
        </w:rPr>
        <w:t>. Datová infrastruktura a registry</w:t>
      </w:r>
    </w:p>
    <w:p w14:paraId="5635B93A" w14:textId="77777777" w:rsidR="003B0F1F" w:rsidRPr="003B0F1F" w:rsidRDefault="003B0F1F" w:rsidP="003B0F1F">
      <w:pPr>
        <w:jc w:val="both"/>
      </w:pPr>
      <w:r w:rsidRPr="003B0F1F">
        <w:t>Zahrnuje budování a rozvoj Národního registru vzácných onemocnění, implementaci ORPHAkódů, standardizaci datové sady VO, interoperabilitu systémů a pravidla sdílení dat. Datová infrastruktura představuje základní podmínku řízení, financování a hodnocení kvality péče.</w:t>
      </w:r>
    </w:p>
    <w:p w14:paraId="660FDC4E" w14:textId="4F288828" w:rsidR="003B0F1F" w:rsidRPr="003B0F1F" w:rsidRDefault="00026367" w:rsidP="006060B7">
      <w:pPr>
        <w:jc w:val="both"/>
        <w:rPr>
          <w:b/>
          <w:bCs/>
        </w:rPr>
      </w:pPr>
      <w:r>
        <w:rPr>
          <w:b/>
          <w:bCs/>
        </w:rPr>
        <w:t>IV</w:t>
      </w:r>
      <w:r w:rsidR="003B0F1F" w:rsidRPr="003B0F1F">
        <w:rPr>
          <w:b/>
          <w:bCs/>
        </w:rPr>
        <w:t>. Vzdělávání a odborné kapacity</w:t>
      </w:r>
    </w:p>
    <w:p w14:paraId="09838E4E" w14:textId="0F3BD4BC" w:rsidR="003B0F1F" w:rsidRPr="003B0F1F" w:rsidRDefault="0FC8FD2A" w:rsidP="003B0F1F">
      <w:pPr>
        <w:jc w:val="both"/>
      </w:pPr>
      <w:r>
        <w:t>Směřuje k systematickému začlenění témat vzácných onemocnění do pregraduálního</w:t>
      </w:r>
      <w:r w:rsidR="60615D22">
        <w:t xml:space="preserve">                     </w:t>
      </w:r>
      <w:r w:rsidR="00644157">
        <w:t xml:space="preserve">          </w:t>
      </w:r>
      <w:r>
        <w:t>a postgraduálního vzdělávání, rozvoji celoživotního vzdělávání a mezinárodní výměně zkušeností.</w:t>
      </w:r>
    </w:p>
    <w:p w14:paraId="16F70461" w14:textId="48274F38" w:rsidR="003B0F1F" w:rsidRPr="003B0F1F" w:rsidRDefault="00026367" w:rsidP="006060B7">
      <w:pPr>
        <w:jc w:val="both"/>
        <w:rPr>
          <w:b/>
          <w:bCs/>
        </w:rPr>
      </w:pPr>
      <w:r>
        <w:rPr>
          <w:b/>
          <w:bCs/>
        </w:rPr>
        <w:t>V</w:t>
      </w:r>
      <w:r w:rsidR="003B0F1F" w:rsidRPr="003B0F1F">
        <w:rPr>
          <w:b/>
          <w:bCs/>
        </w:rPr>
        <w:t>. Digitalizace a telemedicína</w:t>
      </w:r>
    </w:p>
    <w:p w14:paraId="1D6FC000" w14:textId="77777777" w:rsidR="003B0F1F" w:rsidRPr="003B0F1F" w:rsidRDefault="003B0F1F" w:rsidP="003B0F1F">
      <w:pPr>
        <w:jc w:val="both"/>
      </w:pPr>
      <w:r w:rsidRPr="003B0F1F">
        <w:t>Podporuje zavádění telemedicínských nástrojů, digitální přístup pacientů ke zdravotním údajům a zvyšování digitální zdravotní gramotnosti.</w:t>
      </w:r>
    </w:p>
    <w:p w14:paraId="632593C5" w14:textId="3A845A4E" w:rsidR="003B0F1F" w:rsidRPr="003B0F1F" w:rsidRDefault="00026367" w:rsidP="006060B7">
      <w:pPr>
        <w:jc w:val="both"/>
        <w:rPr>
          <w:b/>
          <w:bCs/>
        </w:rPr>
      </w:pPr>
      <w:r>
        <w:rPr>
          <w:b/>
          <w:bCs/>
        </w:rPr>
        <w:t>VI</w:t>
      </w:r>
      <w:r w:rsidR="003B0F1F" w:rsidRPr="003B0F1F">
        <w:rPr>
          <w:b/>
          <w:bCs/>
        </w:rPr>
        <w:t>. Participace pacientů a sociální dimenze</w:t>
      </w:r>
    </w:p>
    <w:p w14:paraId="0677A4B1" w14:textId="10DDD8B8" w:rsidR="00026367" w:rsidRDefault="0FC8FD2A" w:rsidP="003B0F1F">
      <w:pPr>
        <w:jc w:val="both"/>
      </w:pPr>
      <w:r>
        <w:t xml:space="preserve">Posiluje zapojení pacientských organizací, podporu sdíleného rozhodování, komunikaci </w:t>
      </w:r>
      <w:r w:rsidR="5297F3D7">
        <w:t xml:space="preserve">               </w:t>
      </w:r>
      <w:r w:rsidR="00644157">
        <w:t xml:space="preserve">           </w:t>
      </w:r>
      <w:r w:rsidR="5297F3D7">
        <w:t xml:space="preserve"> </w:t>
      </w:r>
      <w:r>
        <w:t>s pacienty, peer podporu a mapování potřeb pečujících osob.</w:t>
      </w:r>
    </w:p>
    <w:p w14:paraId="6B2B830F" w14:textId="55F187FA" w:rsidR="5BF5182F" w:rsidRDefault="5BF5182F" w:rsidP="5BF5182F">
      <w:pPr>
        <w:jc w:val="both"/>
      </w:pPr>
    </w:p>
    <w:p w14:paraId="540676EB" w14:textId="77777777" w:rsidR="00026367" w:rsidRPr="00D9130A" w:rsidRDefault="00026367" w:rsidP="00026367">
      <w:pPr>
        <w:pStyle w:val="Nadpis2"/>
      </w:pPr>
      <w:r w:rsidRPr="00D9130A">
        <w:t>Opatření průřezového charakteru</w:t>
      </w:r>
    </w:p>
    <w:p w14:paraId="170D06AA" w14:textId="0E7A11B8" w:rsidR="00026367" w:rsidRPr="00D9130A" w:rsidRDefault="00026367" w:rsidP="00026367">
      <w:pPr>
        <w:jc w:val="both"/>
      </w:pPr>
      <w:r>
        <w:t>V rámci všech IP jsou některá opatření svou povahou průřezová. Jedná se o opatření, jejichž význam a dopad přesahují rámec jednotlivých implementačních období i jednotlivých implementačních plánů NSVO. Tato opatření zpravidla přispívají k naplňování více specifických cílů současně a jejich realizace probíhá kontinuálně v delším časovém horizontu.</w:t>
      </w:r>
    </w:p>
    <w:p w14:paraId="69C573CF" w14:textId="43A79CAB" w:rsidR="00026367" w:rsidRPr="00D9130A" w:rsidRDefault="5DD2926E" w:rsidP="00026367">
      <w:pPr>
        <w:jc w:val="both"/>
      </w:pPr>
      <w:r>
        <w:lastRenderedPageBreak/>
        <w:t>Průřezová opatření mohou mít své primární těžiště v konkrétní implementační fázi, nebo být</w:t>
      </w:r>
      <w:r w:rsidR="657B103B">
        <w:t xml:space="preserve">          </w:t>
      </w:r>
      <w:r w:rsidR="00644157">
        <w:t xml:space="preserve">         </w:t>
      </w:r>
      <w:r>
        <w:t>z organizačních a metodických důvodů zařazena do konkrétního implementačního plánu. Toto zařazení však neomezuje jejich věcný přesah ani možnost jejich postupného rozvíjen</w:t>
      </w:r>
      <w:r w:rsidR="15159D02">
        <w:t xml:space="preserve">í                       </w:t>
      </w:r>
      <w:r w:rsidR="00644157">
        <w:t xml:space="preserve">             </w:t>
      </w:r>
      <w:r>
        <w:t xml:space="preserve">v navazujících implementačních obdobích. V průběhu realizace se tato opatření mohou rozšiřovat, prohlubovat nebo adaptovat podle potřeb systému a výsledků monitoringu </w:t>
      </w:r>
      <w:r w:rsidR="0FB6989B">
        <w:t xml:space="preserve">                     </w:t>
      </w:r>
      <w:r w:rsidR="00644157">
        <w:t xml:space="preserve">           </w:t>
      </w:r>
      <w:r>
        <w:t>a evaluace.</w:t>
      </w:r>
    </w:p>
    <w:p w14:paraId="56F8B40C" w14:textId="77777777" w:rsidR="00026367" w:rsidRPr="00D9130A" w:rsidRDefault="00026367" w:rsidP="00026367">
      <w:pPr>
        <w:jc w:val="both"/>
      </w:pPr>
      <w:r w:rsidRPr="00D9130A">
        <w:t>Cílem tohoto přístupu je zajistit, aby opatření s dlouhodobým nebo systémovým dopadem nezanikala na hranicích jednotlivých implementačních období a aby bylo možné zachovat kontinuitu jejich realizace, včetně možnosti využívání různých zdrojů financování v průběhu celé doby implementace strategie.</w:t>
      </w:r>
    </w:p>
    <w:p w14:paraId="1E202720" w14:textId="77777777" w:rsidR="00026367" w:rsidRPr="00D9130A" w:rsidRDefault="00026367" w:rsidP="00026367">
      <w:pPr>
        <w:jc w:val="both"/>
      </w:pPr>
      <w:r w:rsidRPr="00D9130A">
        <w:t xml:space="preserve">Pro potřeby řízení implementace má každé průřezové opatření v rámci </w:t>
      </w:r>
      <w:r>
        <w:t xml:space="preserve">jednotlivých IP </w:t>
      </w:r>
      <w:r w:rsidRPr="00D9130A">
        <w:t xml:space="preserve">určeno své pevné místo v konkrétním </w:t>
      </w:r>
      <w:r>
        <w:t xml:space="preserve">plánu </w:t>
      </w:r>
      <w:r w:rsidRPr="00D9130A">
        <w:t>a implementační fázi, ve které je zahájeno nebo ve které se nachází jeho hlavní rozvojová etapa. Současně však může být jeho realizace rozvíjena „klouzavým“ způsobem i v dalších obdobích nebo může být částečně naplňována prostřednictvím jiných strategických nebo implementačních dokumentů, pokud je to z hlediska systému účelné.</w:t>
      </w:r>
    </w:p>
    <w:p w14:paraId="5289A647" w14:textId="61454B87" w:rsidR="00026367" w:rsidRPr="00D9130A" w:rsidRDefault="00026367" w:rsidP="00026367">
      <w:pPr>
        <w:jc w:val="both"/>
      </w:pPr>
      <w:r>
        <w:t xml:space="preserve">Tento přístup podporuje flexibilitu implementace, umožňuje reagovat </w:t>
      </w:r>
      <w:r w:rsidR="290FC6EC">
        <w:t xml:space="preserve">zejména </w:t>
      </w:r>
      <w:r>
        <w:t>na vývoj systému zdravotní a sociální péče a zároveň zajišťuje přehlednost řízení, monitoringu a financování jednotlivých opatření.</w:t>
      </w:r>
    </w:p>
    <w:p w14:paraId="7B28D45F" w14:textId="1F90F2D6" w:rsidR="003B0F1F" w:rsidRPr="003B0F1F" w:rsidRDefault="003B0F1F" w:rsidP="003B0F1F">
      <w:pPr>
        <w:jc w:val="both"/>
      </w:pPr>
    </w:p>
    <w:p w14:paraId="42FBE3C4" w14:textId="1CA4BACB" w:rsidR="00026367" w:rsidRPr="00026367" w:rsidRDefault="003B0F1F" w:rsidP="00026367">
      <w:pPr>
        <w:pStyle w:val="Nadpis2"/>
      </w:pPr>
      <w:r w:rsidRPr="003B0F1F">
        <w:t>Prioritizační rámec implementace</w:t>
      </w:r>
    </w:p>
    <w:p w14:paraId="02EC19C8" w14:textId="18D2CB5A" w:rsidR="003B0F1F" w:rsidRPr="003B0F1F" w:rsidRDefault="003B0F1F" w:rsidP="003B0F1F">
      <w:pPr>
        <w:jc w:val="both"/>
      </w:pPr>
      <w:r>
        <w:t>Pro účely řízení realizace je využívána tříúrovňová prioritizace opatření (A/B/C), která reflektuje jejich systémový význam, přímý dopad na pacienty a implementační náročnost.</w:t>
      </w:r>
      <w:r w:rsidR="004834F9">
        <w:t xml:space="preserve"> Jednotlivá</w:t>
      </w:r>
      <w:r w:rsidR="7B6E7D0E">
        <w:t xml:space="preserve"> opatření</w:t>
      </w:r>
      <w:r w:rsidR="004834F9">
        <w:t xml:space="preserve"> s konkrétními </w:t>
      </w:r>
      <w:r w:rsidR="00A54E02">
        <w:t>prioritami zachyceny v </w:t>
      </w:r>
      <w:r w:rsidR="005010FA" w:rsidRPr="38C727C3">
        <w:rPr>
          <w:b/>
          <w:bCs/>
        </w:rPr>
        <w:t>T</w:t>
      </w:r>
      <w:r w:rsidR="00A54E02" w:rsidRPr="38C727C3">
        <w:rPr>
          <w:b/>
          <w:bCs/>
        </w:rPr>
        <w:t xml:space="preserve">abulce </w:t>
      </w:r>
      <w:r w:rsidR="005010FA" w:rsidRPr="38C727C3">
        <w:rPr>
          <w:b/>
          <w:bCs/>
        </w:rPr>
        <w:t>2</w:t>
      </w:r>
      <w:r w:rsidR="00A54E02">
        <w:t>.</w:t>
      </w:r>
    </w:p>
    <w:p w14:paraId="36A5B179" w14:textId="77777777" w:rsidR="003B0F1F" w:rsidRPr="003B0F1F" w:rsidRDefault="003B0F1F" w:rsidP="009B7B99">
      <w:pPr>
        <w:jc w:val="both"/>
        <w:rPr>
          <w:b/>
          <w:bCs/>
        </w:rPr>
      </w:pPr>
      <w:r w:rsidRPr="003B0F1F">
        <w:rPr>
          <w:b/>
          <w:bCs/>
        </w:rPr>
        <w:t>Kategorie A – vysoká priorita („kotvová“ opatření)</w:t>
      </w:r>
    </w:p>
    <w:p w14:paraId="0D96420F" w14:textId="173B821D" w:rsidR="003B0F1F" w:rsidRPr="003B0F1F" w:rsidRDefault="0FC8FD2A" w:rsidP="003B0F1F">
      <w:pPr>
        <w:jc w:val="both"/>
      </w:pPr>
      <w:r>
        <w:t>Opatření s bezprostředním systémovým dopadem, která vytvářejí základní páteř implementace. Jejich realizace je předpokladem pro úspěšné naplnění dalších opatření. Typicky se jedná</w:t>
      </w:r>
      <w:r w:rsidR="0739D5E4">
        <w:t xml:space="preserve">            </w:t>
      </w:r>
      <w:r w:rsidR="00644157">
        <w:t xml:space="preserve">        </w:t>
      </w:r>
      <w:r w:rsidR="0739D5E4">
        <w:t xml:space="preserve">  </w:t>
      </w:r>
      <w:r>
        <w:t>o oblast koordinace péče, datové infrastruktury a klíčových standardů specializované péče.</w:t>
      </w:r>
    </w:p>
    <w:p w14:paraId="5870EE6C" w14:textId="1FB626E1" w:rsidR="003B0F1F" w:rsidRPr="003B0F1F" w:rsidRDefault="003B0F1F" w:rsidP="009B7B99">
      <w:pPr>
        <w:jc w:val="both"/>
        <w:rPr>
          <w:b/>
          <w:bCs/>
        </w:rPr>
      </w:pPr>
      <w:r w:rsidRPr="003B0F1F">
        <w:rPr>
          <w:b/>
          <w:bCs/>
        </w:rPr>
        <w:t>Kategorie B – střední priorita</w:t>
      </w:r>
      <w:r w:rsidR="00AD11AE">
        <w:rPr>
          <w:b/>
          <w:bCs/>
        </w:rPr>
        <w:t xml:space="preserve"> (navazující rozvoj)</w:t>
      </w:r>
    </w:p>
    <w:p w14:paraId="7F778F2E" w14:textId="355C6B52" w:rsidR="003B0F1F" w:rsidRPr="003B0F1F" w:rsidRDefault="0FC8FD2A" w:rsidP="003B0F1F">
      <w:pPr>
        <w:jc w:val="both"/>
      </w:pPr>
      <w:r>
        <w:t>Navazující rozvojová opatření, která rozšiřují a stabilizují již zavedené mechanismy, zejména</w:t>
      </w:r>
      <w:r w:rsidR="5F2ACACF">
        <w:t xml:space="preserve">         </w:t>
      </w:r>
      <w:r w:rsidR="00644157">
        <w:t xml:space="preserve">          </w:t>
      </w:r>
      <w:r>
        <w:t>v oblasti vzdělávání, digitalizace a rozvoje odborných kapacit.</w:t>
      </w:r>
    </w:p>
    <w:p w14:paraId="28BCD1C5" w14:textId="2D0B0EB9" w:rsidR="003B0F1F" w:rsidRPr="003B0F1F" w:rsidRDefault="003B0F1F" w:rsidP="00ED0768">
      <w:pPr>
        <w:jc w:val="both"/>
        <w:rPr>
          <w:b/>
          <w:bCs/>
        </w:rPr>
      </w:pPr>
      <w:r w:rsidRPr="003B0F1F">
        <w:rPr>
          <w:b/>
          <w:bCs/>
        </w:rPr>
        <w:t>Kategorie C – konsolidační a rozvojová opatření</w:t>
      </w:r>
    </w:p>
    <w:p w14:paraId="6EC8485B" w14:textId="77777777" w:rsidR="003B0F1F" w:rsidRPr="003B0F1F" w:rsidRDefault="003B0F1F" w:rsidP="003B0F1F">
      <w:pPr>
        <w:jc w:val="both"/>
      </w:pPr>
      <w:r w:rsidRPr="003B0F1F">
        <w:t>Opatření orientovaná na pokročilé analytické nástroje, výzkumné aktivity, mezinárodní spolupráci a rozšiřování participace pacientů.</w:t>
      </w:r>
    </w:p>
    <w:p w14:paraId="21DF0C66" w14:textId="66118814" w:rsidR="00B17E1F" w:rsidRDefault="0FC8FD2A" w:rsidP="003B0F1F">
      <w:pPr>
        <w:jc w:val="both"/>
        <w:sectPr w:rsidR="00B17E1F" w:rsidSect="00AF0805">
          <w:pgSz w:w="11906" w:h="16838"/>
          <w:pgMar w:top="1417" w:right="1417" w:bottom="1417" w:left="1417" w:header="708" w:footer="708" w:gutter="0"/>
          <w:pgNumType w:start="0"/>
          <w:cols w:space="708"/>
          <w:titlePg/>
          <w:docGrid w:linePitch="360"/>
        </w:sectPr>
      </w:pPr>
      <w:r>
        <w:t>Detailní přiřazení opatření do jednotlivých kategorií je uvedeno v</w:t>
      </w:r>
      <w:r w:rsidR="6D34B760">
        <w:t> Tabulce</w:t>
      </w:r>
      <w:r w:rsidR="4126346B">
        <w:t xml:space="preserve"> </w:t>
      </w:r>
      <w:r w:rsidR="42D97B7C">
        <w:t>3</w:t>
      </w:r>
      <w:r w:rsidR="0AE0C1D6" w:rsidRPr="78C5DBBA">
        <w:rPr>
          <w:b/>
          <w:bCs/>
        </w:rPr>
        <w:t>.</w:t>
      </w:r>
    </w:p>
    <w:p w14:paraId="1B8BEDD8" w14:textId="60F418BE" w:rsidR="00B17E1F" w:rsidRPr="008335D2" w:rsidRDefault="22B2F71B" w:rsidP="008335D2">
      <w:pPr>
        <w:spacing w:after="0" w:line="240" w:lineRule="auto"/>
        <w:rPr>
          <w:b/>
          <w:bCs/>
        </w:rPr>
      </w:pPr>
      <w:r w:rsidRPr="5BF5182F">
        <w:rPr>
          <w:b/>
          <w:bCs/>
        </w:rPr>
        <w:lastRenderedPageBreak/>
        <w:t xml:space="preserve">Tabulka </w:t>
      </w:r>
      <w:r w:rsidR="46334C74" w:rsidRPr="5BF5182F">
        <w:rPr>
          <w:b/>
          <w:bCs/>
        </w:rPr>
        <w:t>3</w:t>
      </w:r>
      <w:r w:rsidRPr="5BF5182F">
        <w:rPr>
          <w:b/>
          <w:bCs/>
        </w:rPr>
        <w:t xml:space="preserve">: </w:t>
      </w:r>
      <w:r w:rsidR="0D98AFA3">
        <w:t xml:space="preserve">Seznam konkrétních opatření </w:t>
      </w:r>
      <w:r w:rsidR="2ADDE1A8">
        <w:t>NSVO</w:t>
      </w:r>
      <w:r w:rsidR="602BB21C">
        <w:t xml:space="preserve"> v logickém rámci</w:t>
      </w:r>
      <w:r w:rsidR="0AE0C1D6">
        <w:t>.</w:t>
      </w:r>
    </w:p>
    <w:tbl>
      <w:tblPr>
        <w:tblW w:w="14874" w:type="dxa"/>
        <w:tblCellMar>
          <w:top w:w="15" w:type="dxa"/>
          <w:left w:w="70" w:type="dxa"/>
          <w:bottom w:w="15" w:type="dxa"/>
          <w:right w:w="70" w:type="dxa"/>
        </w:tblCellMar>
        <w:tblLook w:val="04A0" w:firstRow="1" w:lastRow="0" w:firstColumn="1" w:lastColumn="0" w:noHBand="0" w:noVBand="1"/>
      </w:tblPr>
      <w:tblGrid>
        <w:gridCol w:w="1185"/>
        <w:gridCol w:w="1185"/>
        <w:gridCol w:w="1635"/>
        <w:gridCol w:w="990"/>
        <w:gridCol w:w="780"/>
        <w:gridCol w:w="9099"/>
      </w:tblGrid>
      <w:tr w:rsidR="00FF01DA" w:rsidRPr="00F77AAA" w14:paraId="31376F07" w14:textId="77777777" w:rsidTr="034C28CC">
        <w:trPr>
          <w:trHeight w:val="1020"/>
        </w:trPr>
        <w:tc>
          <w:tcPr>
            <w:tcW w:w="1185" w:type="dxa"/>
            <w:tcBorders>
              <w:top w:val="single" w:sz="8" w:space="0" w:color="000000" w:themeColor="text1"/>
              <w:left w:val="single" w:sz="8" w:space="0" w:color="000000" w:themeColor="text1"/>
              <w:bottom w:val="single" w:sz="8" w:space="0" w:color="000000" w:themeColor="text1"/>
              <w:right w:val="single" w:sz="8" w:space="0" w:color="auto"/>
            </w:tcBorders>
            <w:shd w:val="clear" w:color="auto" w:fill="EEECE1"/>
            <w:vAlign w:val="center"/>
            <w:hideMark/>
          </w:tcPr>
          <w:p w14:paraId="73C1A647" w14:textId="77777777" w:rsidR="00FF01DA" w:rsidRPr="00F77AAA" w:rsidRDefault="00FF01DA" w:rsidP="00F77AAA">
            <w:pPr>
              <w:spacing w:after="0" w:line="240" w:lineRule="auto"/>
              <w:jc w:val="center"/>
              <w:rPr>
                <w:rFonts w:ascii="Calibri" w:eastAsia="Times New Roman" w:hAnsi="Calibri" w:cs="Calibri"/>
                <w:b/>
                <w:bCs/>
                <w:color w:val="auto"/>
                <w:kern w:val="0"/>
                <w:lang w:eastAsia="cs-CZ"/>
                <w14:ligatures w14:val="none"/>
              </w:rPr>
            </w:pPr>
            <w:r w:rsidRPr="00F77AAA">
              <w:rPr>
                <w:rFonts w:ascii="Calibri" w:eastAsia="Times New Roman" w:hAnsi="Calibri" w:cs="Calibri"/>
                <w:b/>
                <w:bCs/>
                <w:color w:val="auto"/>
                <w:kern w:val="0"/>
                <w:lang w:eastAsia="cs-CZ"/>
                <w14:ligatures w14:val="none"/>
              </w:rPr>
              <w:t>Číslo opatření</w:t>
            </w:r>
          </w:p>
        </w:tc>
        <w:tc>
          <w:tcPr>
            <w:tcW w:w="1185"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EEECE1"/>
            <w:vAlign w:val="center"/>
            <w:hideMark/>
          </w:tcPr>
          <w:p w14:paraId="263BFBED" w14:textId="77777777" w:rsidR="00FF01DA" w:rsidRPr="00F77AAA" w:rsidRDefault="00FF01DA" w:rsidP="00F77AAA">
            <w:pPr>
              <w:spacing w:after="0" w:line="240" w:lineRule="auto"/>
              <w:jc w:val="center"/>
              <w:rPr>
                <w:rFonts w:ascii="Calibri" w:eastAsia="Times New Roman" w:hAnsi="Calibri" w:cs="Calibri"/>
                <w:b/>
                <w:bCs/>
                <w:color w:val="auto"/>
                <w:kern w:val="0"/>
                <w:lang w:eastAsia="cs-CZ"/>
                <w14:ligatures w14:val="none"/>
              </w:rPr>
            </w:pPr>
            <w:r w:rsidRPr="00F77AAA">
              <w:rPr>
                <w:rFonts w:ascii="Calibri" w:eastAsia="Times New Roman" w:hAnsi="Calibri" w:cs="Calibri"/>
                <w:b/>
                <w:bCs/>
                <w:color w:val="auto"/>
                <w:kern w:val="0"/>
                <w:lang w:eastAsia="cs-CZ"/>
                <w14:ligatures w14:val="none"/>
              </w:rPr>
              <w:t xml:space="preserve">Specifický cíl </w:t>
            </w:r>
          </w:p>
        </w:tc>
        <w:tc>
          <w:tcPr>
            <w:tcW w:w="1635" w:type="dxa"/>
            <w:tcBorders>
              <w:top w:val="single" w:sz="8" w:space="0" w:color="000000" w:themeColor="text1"/>
              <w:left w:val="nil"/>
              <w:bottom w:val="single" w:sz="8" w:space="0" w:color="000000" w:themeColor="text1"/>
              <w:right w:val="single" w:sz="8" w:space="0" w:color="000000" w:themeColor="text1"/>
            </w:tcBorders>
            <w:shd w:val="clear" w:color="auto" w:fill="EEECE1"/>
            <w:vAlign w:val="center"/>
            <w:hideMark/>
          </w:tcPr>
          <w:p w14:paraId="663C6D8A" w14:textId="77777777" w:rsidR="00FF01DA" w:rsidRPr="00F77AAA" w:rsidRDefault="00FF01DA" w:rsidP="00F77AAA">
            <w:pPr>
              <w:spacing w:after="0" w:line="240" w:lineRule="auto"/>
              <w:jc w:val="center"/>
              <w:rPr>
                <w:rFonts w:ascii="Calibri" w:eastAsia="Times New Roman" w:hAnsi="Calibri" w:cs="Calibri"/>
                <w:b/>
                <w:bCs/>
                <w:color w:val="auto"/>
                <w:kern w:val="0"/>
                <w:lang w:eastAsia="cs-CZ"/>
                <w14:ligatures w14:val="none"/>
              </w:rPr>
            </w:pPr>
            <w:r w:rsidRPr="00F77AAA">
              <w:rPr>
                <w:rFonts w:ascii="Calibri" w:eastAsia="Times New Roman" w:hAnsi="Calibri" w:cs="Calibri"/>
                <w:b/>
                <w:bCs/>
                <w:color w:val="auto"/>
                <w:kern w:val="0"/>
                <w:lang w:eastAsia="cs-CZ"/>
                <w14:ligatures w14:val="none"/>
              </w:rPr>
              <w:t>Fáze realizace</w:t>
            </w:r>
          </w:p>
        </w:tc>
        <w:tc>
          <w:tcPr>
            <w:tcW w:w="990" w:type="dxa"/>
            <w:tcBorders>
              <w:top w:val="single" w:sz="8" w:space="0" w:color="000000" w:themeColor="text1"/>
              <w:left w:val="nil"/>
              <w:bottom w:val="single" w:sz="8" w:space="0" w:color="000000" w:themeColor="text1"/>
              <w:right w:val="single" w:sz="8" w:space="0" w:color="000000" w:themeColor="text1"/>
            </w:tcBorders>
            <w:shd w:val="clear" w:color="auto" w:fill="EEECE1"/>
            <w:vAlign w:val="center"/>
            <w:hideMark/>
          </w:tcPr>
          <w:p w14:paraId="37433B0C" w14:textId="2D65A7DF" w:rsidR="00FF01DA" w:rsidRPr="00F77AAA" w:rsidRDefault="00FF01DA" w:rsidP="00FF01DA">
            <w:pPr>
              <w:spacing w:after="0" w:line="240" w:lineRule="auto"/>
              <w:jc w:val="center"/>
              <w:rPr>
                <w:rFonts w:ascii="Calibri" w:eastAsia="Times New Roman" w:hAnsi="Calibri" w:cs="Calibri"/>
                <w:b/>
                <w:bCs/>
                <w:color w:val="000000"/>
                <w:kern w:val="0"/>
                <w:sz w:val="18"/>
                <w:szCs w:val="18"/>
                <w:lang w:eastAsia="cs-CZ"/>
                <w14:ligatures w14:val="none"/>
              </w:rPr>
            </w:pPr>
            <w:r>
              <w:rPr>
                <w:rFonts w:ascii="Calibri" w:eastAsia="Times New Roman" w:hAnsi="Calibri" w:cs="Calibri"/>
                <w:b/>
                <w:bCs/>
                <w:color w:val="000000"/>
                <w:kern w:val="0"/>
                <w:sz w:val="18"/>
                <w:szCs w:val="18"/>
                <w:lang w:eastAsia="cs-CZ"/>
                <w14:ligatures w14:val="none"/>
              </w:rPr>
              <w:t>Průřezový charakter opatření</w:t>
            </w:r>
          </w:p>
        </w:tc>
        <w:tc>
          <w:tcPr>
            <w:tcW w:w="780" w:type="dxa"/>
            <w:tcBorders>
              <w:top w:val="single" w:sz="8" w:space="0" w:color="000000" w:themeColor="text1"/>
              <w:left w:val="nil"/>
              <w:bottom w:val="single" w:sz="8" w:space="0" w:color="000000" w:themeColor="text1"/>
              <w:right w:val="single" w:sz="8" w:space="0" w:color="000000" w:themeColor="text1"/>
            </w:tcBorders>
            <w:shd w:val="clear" w:color="auto" w:fill="EEECE1"/>
            <w:vAlign w:val="center"/>
            <w:hideMark/>
          </w:tcPr>
          <w:p w14:paraId="293D1520" w14:textId="535E8526" w:rsidR="00FF01DA" w:rsidRPr="00F77AAA" w:rsidRDefault="00FF01DA" w:rsidP="00B17E1F">
            <w:pPr>
              <w:spacing w:after="0" w:line="240" w:lineRule="auto"/>
              <w:jc w:val="center"/>
              <w:rPr>
                <w:rFonts w:ascii="Calibri" w:eastAsia="Times New Roman" w:hAnsi="Calibri" w:cs="Calibri"/>
                <w:b/>
                <w:bCs/>
                <w:color w:val="000000"/>
                <w:kern w:val="0"/>
                <w:sz w:val="18"/>
                <w:szCs w:val="18"/>
                <w:lang w:eastAsia="cs-CZ"/>
                <w14:ligatures w14:val="none"/>
              </w:rPr>
            </w:pPr>
            <w:r w:rsidRPr="00F77AAA">
              <w:rPr>
                <w:rFonts w:ascii="Calibri" w:eastAsia="Times New Roman" w:hAnsi="Calibri" w:cs="Calibri"/>
                <w:b/>
                <w:bCs/>
                <w:color w:val="000000"/>
                <w:kern w:val="0"/>
                <w:sz w:val="18"/>
                <w:szCs w:val="18"/>
                <w:lang w:eastAsia="cs-CZ"/>
                <w14:ligatures w14:val="none"/>
              </w:rPr>
              <w:t>Priorita</w:t>
            </w:r>
          </w:p>
        </w:tc>
        <w:tc>
          <w:tcPr>
            <w:tcW w:w="9099" w:type="dxa"/>
            <w:tcBorders>
              <w:top w:val="single" w:sz="8" w:space="0" w:color="000000" w:themeColor="text1"/>
              <w:left w:val="nil"/>
              <w:bottom w:val="single" w:sz="8" w:space="0" w:color="000000" w:themeColor="text1"/>
              <w:right w:val="single" w:sz="8" w:space="0" w:color="auto"/>
            </w:tcBorders>
            <w:shd w:val="clear" w:color="auto" w:fill="EEECE1"/>
            <w:vAlign w:val="center"/>
            <w:hideMark/>
          </w:tcPr>
          <w:p w14:paraId="27603755" w14:textId="77777777" w:rsidR="00FF01DA" w:rsidRPr="00F77AAA" w:rsidRDefault="00FF01DA" w:rsidP="00F77AAA">
            <w:pPr>
              <w:spacing w:after="0" w:line="240" w:lineRule="auto"/>
              <w:jc w:val="center"/>
              <w:rPr>
                <w:rFonts w:ascii="Calibri" w:eastAsia="Times New Roman" w:hAnsi="Calibri" w:cs="Calibri"/>
                <w:b/>
                <w:bCs/>
                <w:color w:val="auto"/>
                <w:kern w:val="0"/>
                <w:sz w:val="28"/>
                <w:szCs w:val="28"/>
                <w:lang w:eastAsia="cs-CZ"/>
                <w14:ligatures w14:val="none"/>
              </w:rPr>
            </w:pPr>
            <w:r w:rsidRPr="00F77AAA">
              <w:rPr>
                <w:rFonts w:ascii="Calibri" w:eastAsia="Times New Roman" w:hAnsi="Calibri" w:cs="Calibri"/>
                <w:b/>
                <w:bCs/>
                <w:color w:val="auto"/>
                <w:kern w:val="0"/>
                <w:sz w:val="28"/>
                <w:szCs w:val="28"/>
                <w:lang w:eastAsia="cs-CZ"/>
                <w14:ligatures w14:val="none"/>
              </w:rPr>
              <w:t>Opatření</w:t>
            </w:r>
          </w:p>
        </w:tc>
      </w:tr>
      <w:tr w:rsidR="00FF01DA" w:rsidRPr="00F77AAA" w14:paraId="279E48F0" w14:textId="77777777" w:rsidTr="034C28CC">
        <w:trPr>
          <w:trHeight w:val="585"/>
        </w:trPr>
        <w:tc>
          <w:tcPr>
            <w:tcW w:w="1185" w:type="dxa"/>
            <w:tcBorders>
              <w:top w:val="nil"/>
              <w:left w:val="single" w:sz="8" w:space="0" w:color="auto"/>
              <w:bottom w:val="single" w:sz="4" w:space="0" w:color="auto"/>
              <w:right w:val="single" w:sz="4" w:space="0" w:color="auto"/>
            </w:tcBorders>
            <w:noWrap/>
            <w:vAlign w:val="center"/>
            <w:hideMark/>
          </w:tcPr>
          <w:p w14:paraId="36AB2D65"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1 </w:t>
            </w:r>
          </w:p>
        </w:tc>
        <w:tc>
          <w:tcPr>
            <w:tcW w:w="1185" w:type="dxa"/>
            <w:tcBorders>
              <w:top w:val="nil"/>
              <w:left w:val="single" w:sz="4" w:space="0" w:color="auto"/>
              <w:bottom w:val="single" w:sz="4" w:space="0" w:color="auto"/>
              <w:right w:val="single" w:sz="4" w:space="0" w:color="auto"/>
            </w:tcBorders>
            <w:noWrap/>
            <w:vAlign w:val="center"/>
            <w:hideMark/>
          </w:tcPr>
          <w:p w14:paraId="79BDC64F"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 xml:space="preserve">1.1. </w:t>
            </w:r>
          </w:p>
        </w:tc>
        <w:tc>
          <w:tcPr>
            <w:tcW w:w="1635" w:type="dxa"/>
            <w:tcBorders>
              <w:top w:val="nil"/>
              <w:left w:val="single" w:sz="4" w:space="0" w:color="auto"/>
              <w:bottom w:val="single" w:sz="4" w:space="0" w:color="auto"/>
              <w:right w:val="nil"/>
            </w:tcBorders>
            <w:noWrap/>
            <w:vAlign w:val="center"/>
            <w:hideMark/>
          </w:tcPr>
          <w:p w14:paraId="006DCA13"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0EEDFAAB"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p>
        </w:tc>
        <w:tc>
          <w:tcPr>
            <w:tcW w:w="780" w:type="dxa"/>
            <w:tcBorders>
              <w:top w:val="nil"/>
              <w:left w:val="nil"/>
              <w:bottom w:val="single" w:sz="4" w:space="0" w:color="auto"/>
              <w:right w:val="nil"/>
            </w:tcBorders>
            <w:noWrap/>
            <w:vAlign w:val="center"/>
            <w:hideMark/>
          </w:tcPr>
          <w:p w14:paraId="5AB63BB3"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nil"/>
              <w:left w:val="single" w:sz="4" w:space="0" w:color="auto"/>
              <w:bottom w:val="single" w:sz="4" w:space="0" w:color="auto"/>
              <w:right w:val="single" w:sz="4" w:space="0" w:color="auto"/>
            </w:tcBorders>
            <w:hideMark/>
          </w:tcPr>
          <w:p w14:paraId="1C1D359B"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Zavést systém kvalitní, citlivé a strukturované komunikace s pacienty a jejich blízkými, včetně rozvoje komunikačních kompetencí zdravotnického personálu, podpory sdíleného rozhodování a poskytování psychologické a sociální podpory. </w:t>
            </w:r>
          </w:p>
        </w:tc>
      </w:tr>
      <w:tr w:rsidR="00FF01DA" w:rsidRPr="00F77AAA" w14:paraId="32529617" w14:textId="77777777" w:rsidTr="034C28CC">
        <w:trPr>
          <w:trHeight w:val="45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7E60D98E"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2 </w:t>
            </w:r>
          </w:p>
        </w:tc>
        <w:tc>
          <w:tcPr>
            <w:tcW w:w="1185" w:type="dxa"/>
            <w:tcBorders>
              <w:top w:val="nil"/>
              <w:left w:val="single" w:sz="4" w:space="0" w:color="auto"/>
              <w:bottom w:val="single" w:sz="4" w:space="0" w:color="auto"/>
              <w:right w:val="single" w:sz="4" w:space="0" w:color="auto"/>
            </w:tcBorders>
            <w:noWrap/>
            <w:vAlign w:val="center"/>
            <w:hideMark/>
          </w:tcPr>
          <w:p w14:paraId="2B858471"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 xml:space="preserve">1.1. </w:t>
            </w:r>
          </w:p>
        </w:tc>
        <w:tc>
          <w:tcPr>
            <w:tcW w:w="1635" w:type="dxa"/>
            <w:tcBorders>
              <w:top w:val="single" w:sz="4" w:space="0" w:color="auto"/>
              <w:left w:val="single" w:sz="4" w:space="0" w:color="auto"/>
              <w:bottom w:val="single" w:sz="4" w:space="0" w:color="auto"/>
              <w:right w:val="nil"/>
            </w:tcBorders>
            <w:noWrap/>
            <w:vAlign w:val="center"/>
            <w:hideMark/>
          </w:tcPr>
          <w:p w14:paraId="3C36BB51"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1ABCEB3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C98802F"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617A77CB"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Specializované pracoviště má k dispozici psychologické a sociální poradenství a další péči v této oblasti pro pacienty a jejich blízké. </w:t>
            </w:r>
          </w:p>
        </w:tc>
      </w:tr>
      <w:tr w:rsidR="00FF01DA" w:rsidRPr="00F77AAA" w14:paraId="65507337"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2554C70D"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3 </w:t>
            </w:r>
          </w:p>
        </w:tc>
        <w:tc>
          <w:tcPr>
            <w:tcW w:w="1185" w:type="dxa"/>
            <w:tcBorders>
              <w:top w:val="nil"/>
              <w:left w:val="single" w:sz="4" w:space="0" w:color="auto"/>
              <w:bottom w:val="single" w:sz="4" w:space="0" w:color="auto"/>
              <w:right w:val="single" w:sz="4" w:space="0" w:color="auto"/>
            </w:tcBorders>
            <w:noWrap/>
            <w:vAlign w:val="center"/>
            <w:hideMark/>
          </w:tcPr>
          <w:p w14:paraId="7C6ED8B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 xml:space="preserve">1.1. </w:t>
            </w:r>
          </w:p>
        </w:tc>
        <w:tc>
          <w:tcPr>
            <w:tcW w:w="1635" w:type="dxa"/>
            <w:tcBorders>
              <w:top w:val="single" w:sz="4" w:space="0" w:color="auto"/>
              <w:left w:val="single" w:sz="4" w:space="0" w:color="auto"/>
              <w:bottom w:val="single" w:sz="4" w:space="0" w:color="auto"/>
              <w:right w:val="nil"/>
            </w:tcBorders>
            <w:noWrap/>
            <w:vAlign w:val="center"/>
            <w:hideMark/>
          </w:tcPr>
          <w:p w14:paraId="437D1610"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30C42A2C" w14:textId="06297BC3"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r>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7092A2F6"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4482B46C"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Rozvíjet edukaci a podporu pacientů a jejich blízkých prostřednictvím pacientských organizací s cílem posílit informovanost, soběstačnost a schopnost vyjadřovat své potřeby. </w:t>
            </w:r>
          </w:p>
        </w:tc>
      </w:tr>
      <w:tr w:rsidR="00FF01DA" w:rsidRPr="00F77AAA" w14:paraId="0B505100" w14:textId="77777777" w:rsidTr="034C28CC">
        <w:trPr>
          <w:trHeight w:val="75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5A60F8F8"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4 </w:t>
            </w:r>
          </w:p>
        </w:tc>
        <w:tc>
          <w:tcPr>
            <w:tcW w:w="1185" w:type="dxa"/>
            <w:tcBorders>
              <w:top w:val="nil"/>
              <w:left w:val="single" w:sz="4" w:space="0" w:color="auto"/>
              <w:bottom w:val="single" w:sz="4" w:space="0" w:color="auto"/>
              <w:right w:val="single" w:sz="4" w:space="0" w:color="auto"/>
            </w:tcBorders>
            <w:noWrap/>
            <w:vAlign w:val="center"/>
            <w:hideMark/>
          </w:tcPr>
          <w:p w14:paraId="7F10E59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 xml:space="preserve">1.1. </w:t>
            </w:r>
          </w:p>
        </w:tc>
        <w:tc>
          <w:tcPr>
            <w:tcW w:w="1635" w:type="dxa"/>
            <w:tcBorders>
              <w:top w:val="single" w:sz="4" w:space="0" w:color="auto"/>
              <w:left w:val="single" w:sz="4" w:space="0" w:color="auto"/>
              <w:bottom w:val="single" w:sz="4" w:space="0" w:color="auto"/>
              <w:right w:val="nil"/>
            </w:tcBorders>
            <w:noWrap/>
            <w:vAlign w:val="center"/>
            <w:hideMark/>
          </w:tcPr>
          <w:p w14:paraId="4644FC7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5F9651FF"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24D48BA4"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08FDCA8E"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Zavést a rozvíjet koncept tzv. spojených (sdílených) ambulancí (z angl. shared clinics), které umožní souběžnou přítomnost více odborníků a pacienta a podpoří jeho aktivní zapojení do tvorby diagnostického a léčebného plánu. </w:t>
            </w:r>
          </w:p>
        </w:tc>
      </w:tr>
      <w:tr w:rsidR="00FF01DA" w:rsidRPr="00F77AAA" w14:paraId="58DF1D67"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2340354F" w14:textId="77777777" w:rsidR="00FF01DA" w:rsidRPr="00F77AAA" w:rsidRDefault="00FF01DA" w:rsidP="00FF01D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5 </w:t>
            </w:r>
          </w:p>
        </w:tc>
        <w:tc>
          <w:tcPr>
            <w:tcW w:w="1185" w:type="dxa"/>
            <w:tcBorders>
              <w:top w:val="nil"/>
              <w:left w:val="single" w:sz="4" w:space="0" w:color="auto"/>
              <w:bottom w:val="single" w:sz="4" w:space="0" w:color="auto"/>
              <w:right w:val="single" w:sz="4" w:space="0" w:color="auto"/>
            </w:tcBorders>
            <w:noWrap/>
            <w:vAlign w:val="center"/>
            <w:hideMark/>
          </w:tcPr>
          <w:p w14:paraId="38A51C45"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 xml:space="preserve">1.1. </w:t>
            </w:r>
          </w:p>
        </w:tc>
        <w:tc>
          <w:tcPr>
            <w:tcW w:w="1635" w:type="dxa"/>
            <w:tcBorders>
              <w:top w:val="nil"/>
              <w:left w:val="single" w:sz="4" w:space="0" w:color="auto"/>
              <w:bottom w:val="single" w:sz="4" w:space="0" w:color="auto"/>
              <w:right w:val="nil"/>
            </w:tcBorders>
            <w:noWrap/>
            <w:vAlign w:val="center"/>
            <w:hideMark/>
          </w:tcPr>
          <w:p w14:paraId="313A466E"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nil"/>
              <w:left w:val="single" w:sz="4" w:space="0" w:color="000000" w:themeColor="text1"/>
              <w:bottom w:val="single" w:sz="4" w:space="0" w:color="000000" w:themeColor="text1"/>
              <w:right w:val="single" w:sz="4" w:space="0" w:color="000000" w:themeColor="text1"/>
            </w:tcBorders>
            <w:noWrap/>
            <w:hideMark/>
          </w:tcPr>
          <w:p w14:paraId="23ACA8C1" w14:textId="1DB2BDDC" w:rsidR="00FF01DA" w:rsidRPr="00F77AAA" w:rsidRDefault="00FF01DA" w:rsidP="00FF01DA">
            <w:pPr>
              <w:spacing w:after="0" w:line="240" w:lineRule="auto"/>
              <w:jc w:val="center"/>
              <w:rPr>
                <w:rFonts w:ascii="Calibri" w:eastAsia="Times New Roman" w:hAnsi="Calibri" w:cs="Calibri"/>
                <w:b/>
                <w:bCs/>
                <w:color w:val="00B050"/>
                <w:kern w:val="0"/>
                <w:lang w:eastAsia="cs-CZ"/>
                <w14:ligatures w14:val="none"/>
              </w:rPr>
            </w:pPr>
            <w:r w:rsidRPr="00A37203">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31D2AFD5" w14:textId="77777777" w:rsidR="00FF01DA" w:rsidRPr="00F77AAA" w:rsidRDefault="00FF01DA" w:rsidP="00FF01D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7AB04F4C" w14:textId="77777777" w:rsidR="00FF01DA" w:rsidRPr="00F77AAA" w:rsidRDefault="00FF01DA" w:rsidP="00FF01D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Posílit respektování práv a preferencí pacientů a jejich blízkých, podpořit jejich hlas a aktivní účast na rozhodování o péči, včetně spolupráce s ombudsmanem pro řešení podnětů. </w:t>
            </w:r>
          </w:p>
        </w:tc>
      </w:tr>
      <w:tr w:rsidR="00FF01DA" w:rsidRPr="00F77AAA" w14:paraId="3B5B48BF" w14:textId="77777777" w:rsidTr="034C28CC">
        <w:trPr>
          <w:trHeight w:val="42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0277EFEF" w14:textId="77777777" w:rsidR="00FF01DA" w:rsidRPr="00F77AAA" w:rsidRDefault="00FF01DA" w:rsidP="00FF01D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6 </w:t>
            </w:r>
          </w:p>
        </w:tc>
        <w:tc>
          <w:tcPr>
            <w:tcW w:w="1185" w:type="dxa"/>
            <w:tcBorders>
              <w:top w:val="nil"/>
              <w:left w:val="single" w:sz="4" w:space="0" w:color="auto"/>
              <w:bottom w:val="single" w:sz="4" w:space="0" w:color="auto"/>
              <w:right w:val="single" w:sz="4" w:space="0" w:color="auto"/>
            </w:tcBorders>
            <w:noWrap/>
            <w:vAlign w:val="center"/>
            <w:hideMark/>
          </w:tcPr>
          <w:p w14:paraId="7A4D2965"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 xml:space="preserve">1.1. </w:t>
            </w:r>
          </w:p>
        </w:tc>
        <w:tc>
          <w:tcPr>
            <w:tcW w:w="1635" w:type="dxa"/>
            <w:tcBorders>
              <w:top w:val="single" w:sz="4" w:space="0" w:color="auto"/>
              <w:left w:val="single" w:sz="4" w:space="0" w:color="auto"/>
              <w:bottom w:val="single" w:sz="4" w:space="0" w:color="auto"/>
              <w:right w:val="nil"/>
            </w:tcBorders>
            <w:noWrap/>
            <w:vAlign w:val="center"/>
            <w:hideMark/>
          </w:tcPr>
          <w:p w14:paraId="7D3A0E2F"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hideMark/>
          </w:tcPr>
          <w:p w14:paraId="373F2313" w14:textId="0B50C61A" w:rsidR="00FF01DA" w:rsidRPr="00F77AAA" w:rsidRDefault="00FF01DA" w:rsidP="00FF01DA">
            <w:pPr>
              <w:spacing w:after="0" w:line="240" w:lineRule="auto"/>
              <w:jc w:val="center"/>
              <w:rPr>
                <w:rFonts w:ascii="Calibri" w:eastAsia="Times New Roman" w:hAnsi="Calibri" w:cs="Calibri"/>
                <w:b/>
                <w:bCs/>
                <w:color w:val="00B050"/>
                <w:kern w:val="0"/>
                <w:lang w:eastAsia="cs-CZ"/>
                <w14:ligatures w14:val="none"/>
              </w:rPr>
            </w:pPr>
            <w:r w:rsidRPr="00A37203">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0C316F70" w14:textId="77777777" w:rsidR="00FF01DA" w:rsidRPr="00F77AAA" w:rsidRDefault="00FF01DA" w:rsidP="00FF01D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5F8CE5DD" w14:textId="77777777" w:rsidR="00FF01DA" w:rsidRPr="00F77AAA" w:rsidRDefault="00FF01DA" w:rsidP="00FF01D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Podporovat rozvoj pacientské advokacie jako nástroje pro zlepšení postavení pacientů ve zdravotním a sociálním systému. </w:t>
            </w:r>
          </w:p>
        </w:tc>
      </w:tr>
      <w:tr w:rsidR="00FF01DA" w:rsidRPr="00F77AAA" w14:paraId="0255703D"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38028BB9" w14:textId="77777777" w:rsidR="00FF01DA" w:rsidRPr="00F77AAA" w:rsidRDefault="00FF01DA" w:rsidP="00FF01D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7 </w:t>
            </w:r>
          </w:p>
        </w:tc>
        <w:tc>
          <w:tcPr>
            <w:tcW w:w="1185" w:type="dxa"/>
            <w:tcBorders>
              <w:top w:val="nil"/>
              <w:left w:val="single" w:sz="4" w:space="0" w:color="auto"/>
              <w:bottom w:val="single" w:sz="4" w:space="0" w:color="auto"/>
              <w:right w:val="single" w:sz="4" w:space="0" w:color="auto"/>
            </w:tcBorders>
            <w:noWrap/>
            <w:vAlign w:val="center"/>
            <w:hideMark/>
          </w:tcPr>
          <w:p w14:paraId="0C423ECC"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 xml:space="preserve">1.1. </w:t>
            </w:r>
          </w:p>
        </w:tc>
        <w:tc>
          <w:tcPr>
            <w:tcW w:w="1635" w:type="dxa"/>
            <w:tcBorders>
              <w:top w:val="nil"/>
              <w:left w:val="single" w:sz="4" w:space="0" w:color="auto"/>
              <w:bottom w:val="single" w:sz="4" w:space="0" w:color="auto"/>
              <w:right w:val="nil"/>
            </w:tcBorders>
            <w:noWrap/>
            <w:vAlign w:val="center"/>
            <w:hideMark/>
          </w:tcPr>
          <w:p w14:paraId="646FC789"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nil"/>
              <w:left w:val="single" w:sz="4" w:space="0" w:color="000000" w:themeColor="text1"/>
              <w:bottom w:val="single" w:sz="4" w:space="0" w:color="000000" w:themeColor="text1"/>
              <w:right w:val="single" w:sz="4" w:space="0" w:color="000000" w:themeColor="text1"/>
            </w:tcBorders>
            <w:noWrap/>
            <w:hideMark/>
          </w:tcPr>
          <w:p w14:paraId="2F46D226" w14:textId="260795E8" w:rsidR="00FF01DA" w:rsidRPr="00F77AAA" w:rsidRDefault="00FF01DA" w:rsidP="00FF01DA">
            <w:pPr>
              <w:spacing w:after="0" w:line="240" w:lineRule="auto"/>
              <w:jc w:val="center"/>
              <w:rPr>
                <w:rFonts w:ascii="Calibri" w:eastAsia="Times New Roman" w:hAnsi="Calibri" w:cs="Calibri"/>
                <w:b/>
                <w:bCs/>
                <w:color w:val="00B050"/>
                <w:kern w:val="0"/>
                <w:lang w:eastAsia="cs-CZ"/>
                <w14:ligatures w14:val="none"/>
              </w:rPr>
            </w:pPr>
            <w:r w:rsidRPr="00A37203">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4AF8CD8D" w14:textId="77777777" w:rsidR="00FF01DA" w:rsidRPr="00F77AAA" w:rsidRDefault="00FF01DA" w:rsidP="00FF01D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45F27A95" w14:textId="77777777" w:rsidR="00FF01DA" w:rsidRPr="00F77AAA" w:rsidRDefault="00FF01DA" w:rsidP="00FF01D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Zástupci pacientů nominovaní příslušnou pacientskou organizací jsou spolupracující součástí struktury národních referenčních sítí (strategický cíl č. 2) a mohou se podílet na přípravě standardů péče. </w:t>
            </w:r>
          </w:p>
        </w:tc>
      </w:tr>
      <w:tr w:rsidR="00FF01DA" w:rsidRPr="00F77AAA" w14:paraId="656F3A33"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22BF79ED" w14:textId="77777777" w:rsidR="00FF01DA" w:rsidRPr="00F77AAA" w:rsidRDefault="00FF01DA" w:rsidP="00FF01D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8 </w:t>
            </w:r>
          </w:p>
        </w:tc>
        <w:tc>
          <w:tcPr>
            <w:tcW w:w="1185" w:type="dxa"/>
            <w:tcBorders>
              <w:top w:val="nil"/>
              <w:left w:val="single" w:sz="4" w:space="0" w:color="auto"/>
              <w:bottom w:val="single" w:sz="4" w:space="0" w:color="auto"/>
              <w:right w:val="single" w:sz="4" w:space="0" w:color="auto"/>
            </w:tcBorders>
            <w:noWrap/>
            <w:vAlign w:val="center"/>
            <w:hideMark/>
          </w:tcPr>
          <w:p w14:paraId="12A0C7DE"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 xml:space="preserve">1.1. </w:t>
            </w:r>
          </w:p>
        </w:tc>
        <w:tc>
          <w:tcPr>
            <w:tcW w:w="1635" w:type="dxa"/>
            <w:tcBorders>
              <w:top w:val="single" w:sz="4" w:space="0" w:color="auto"/>
              <w:left w:val="single" w:sz="4" w:space="0" w:color="auto"/>
              <w:bottom w:val="single" w:sz="4" w:space="0" w:color="auto"/>
              <w:right w:val="nil"/>
            </w:tcBorders>
            <w:noWrap/>
            <w:vAlign w:val="center"/>
            <w:hideMark/>
          </w:tcPr>
          <w:p w14:paraId="3D205CFA"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hideMark/>
          </w:tcPr>
          <w:p w14:paraId="1D9BA7AF" w14:textId="2B6269F9" w:rsidR="00FF01DA" w:rsidRPr="00F77AAA" w:rsidRDefault="00FF01DA" w:rsidP="00FF01DA">
            <w:pPr>
              <w:spacing w:after="0" w:line="240" w:lineRule="auto"/>
              <w:jc w:val="center"/>
              <w:rPr>
                <w:rFonts w:ascii="Calibri" w:eastAsia="Times New Roman" w:hAnsi="Calibri" w:cs="Calibri"/>
                <w:b/>
                <w:bCs/>
                <w:color w:val="00B050"/>
                <w:kern w:val="0"/>
                <w:lang w:eastAsia="cs-CZ"/>
                <w14:ligatures w14:val="none"/>
              </w:rPr>
            </w:pPr>
            <w:r w:rsidRPr="00A37203">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777C9546" w14:textId="77777777" w:rsidR="00FF01DA" w:rsidRPr="00F77AAA" w:rsidRDefault="00FF01DA" w:rsidP="00FF01D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0177A12F" w14:textId="77777777" w:rsidR="00FF01DA" w:rsidRPr="00F77AAA" w:rsidRDefault="00FF01DA" w:rsidP="00FF01D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Začlenit témata týkající se vzácných onemocnění a pacientských organizací do pregraduálních i postgraduálních vzdělávacích programů studentů lékařských, nelékařských zdravotnických a sociálních oborů, aby se zvýšila informovanost budoucích odborníků. </w:t>
            </w:r>
          </w:p>
        </w:tc>
      </w:tr>
      <w:tr w:rsidR="00FF01DA" w:rsidRPr="00F77AAA" w14:paraId="3321DF5F" w14:textId="77777777" w:rsidTr="034C28CC">
        <w:trPr>
          <w:trHeight w:val="75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7718A438" w14:textId="77777777" w:rsidR="00FF01DA" w:rsidRPr="00F77AAA" w:rsidRDefault="00FF01DA" w:rsidP="00FF01D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9 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2F70B5EB"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1.2.</w:t>
            </w:r>
          </w:p>
        </w:tc>
        <w:tc>
          <w:tcPr>
            <w:tcW w:w="1635" w:type="dxa"/>
            <w:tcBorders>
              <w:top w:val="nil"/>
              <w:left w:val="single" w:sz="4" w:space="0" w:color="auto"/>
              <w:bottom w:val="single" w:sz="4" w:space="0" w:color="auto"/>
              <w:right w:val="nil"/>
            </w:tcBorders>
            <w:noWrap/>
            <w:vAlign w:val="center"/>
            <w:hideMark/>
          </w:tcPr>
          <w:p w14:paraId="11FFCC72"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nil"/>
              <w:left w:val="single" w:sz="4" w:space="0" w:color="000000" w:themeColor="text1"/>
              <w:bottom w:val="single" w:sz="4" w:space="0" w:color="000000" w:themeColor="text1"/>
              <w:right w:val="single" w:sz="4" w:space="0" w:color="000000" w:themeColor="text1"/>
            </w:tcBorders>
            <w:noWrap/>
            <w:hideMark/>
          </w:tcPr>
          <w:p w14:paraId="1D52DD40" w14:textId="795D560F" w:rsidR="00FF01DA" w:rsidRPr="00F77AAA" w:rsidRDefault="00FF01DA" w:rsidP="00FF01DA">
            <w:pPr>
              <w:spacing w:after="0" w:line="240" w:lineRule="auto"/>
              <w:jc w:val="center"/>
              <w:rPr>
                <w:rFonts w:ascii="Calibri" w:eastAsia="Times New Roman" w:hAnsi="Calibri" w:cs="Calibri"/>
                <w:b/>
                <w:bCs/>
                <w:color w:val="00B050"/>
                <w:kern w:val="0"/>
                <w:lang w:eastAsia="cs-CZ"/>
                <w14:ligatures w14:val="none"/>
              </w:rPr>
            </w:pPr>
            <w:r w:rsidRPr="00A37203">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0EFE9DB2" w14:textId="77777777" w:rsidR="00FF01DA" w:rsidRPr="00F77AAA" w:rsidRDefault="00FF01DA" w:rsidP="00FF01D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58F4670A" w14:textId="77777777" w:rsidR="00FF01DA" w:rsidRPr="00F77AAA" w:rsidRDefault="00FF01DA" w:rsidP="00FF01D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Pacienti a jejich blízcí v CVSP-VO dostávají informace o onemocnění, možnostech léčby, dostupné podpoře a právech, tak aby jim to umožnilo porozumět své situaci, vyjádřit preference a aktivně se podílet na rozhodování a tvorbě plánu péče, s ohledem na jejich individuální potřeby. Pacienti se aktivně o tyto informace zajímají. </w:t>
            </w:r>
          </w:p>
        </w:tc>
      </w:tr>
      <w:tr w:rsidR="00FF01DA" w:rsidRPr="00F77AAA" w14:paraId="2F4CED2B"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35831934" w14:textId="77777777" w:rsidR="00FF01DA" w:rsidRPr="00F77AAA" w:rsidRDefault="00FF01DA" w:rsidP="00FF01D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10 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731412C1"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1.2.</w:t>
            </w:r>
          </w:p>
        </w:tc>
        <w:tc>
          <w:tcPr>
            <w:tcW w:w="1635" w:type="dxa"/>
            <w:tcBorders>
              <w:top w:val="single" w:sz="4" w:space="0" w:color="auto"/>
              <w:left w:val="single" w:sz="4" w:space="0" w:color="auto"/>
              <w:bottom w:val="single" w:sz="4" w:space="0" w:color="auto"/>
              <w:right w:val="nil"/>
            </w:tcBorders>
            <w:noWrap/>
            <w:vAlign w:val="center"/>
            <w:hideMark/>
          </w:tcPr>
          <w:p w14:paraId="642069F4"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hideMark/>
          </w:tcPr>
          <w:p w14:paraId="4A8D93FA" w14:textId="0FE74062" w:rsidR="00FF01DA" w:rsidRPr="00F77AAA" w:rsidRDefault="00FF01DA" w:rsidP="00FF01DA">
            <w:pPr>
              <w:spacing w:after="0" w:line="240" w:lineRule="auto"/>
              <w:jc w:val="center"/>
              <w:rPr>
                <w:rFonts w:ascii="Calibri" w:eastAsia="Times New Roman" w:hAnsi="Calibri" w:cs="Calibri"/>
                <w:b/>
                <w:bCs/>
                <w:color w:val="00B050"/>
                <w:kern w:val="0"/>
                <w:lang w:eastAsia="cs-CZ"/>
                <w14:ligatures w14:val="none"/>
              </w:rPr>
            </w:pPr>
            <w:r w:rsidRPr="00A37203">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3472AB99" w14:textId="77777777" w:rsidR="00FF01DA" w:rsidRPr="00F77AAA" w:rsidRDefault="00FF01DA" w:rsidP="00FF01D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2E2DD4E4" w14:textId="77777777" w:rsidR="00FF01DA" w:rsidRPr="00F77AAA" w:rsidRDefault="00FF01DA" w:rsidP="00FF01D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Informační materiály pro pacienty jsou připravovány ve spolupráci s odborníky a zástupci pacientů, s důrazem na srozumitelnost a praktickou použitelnost pro různé věkové skupiny a úroveň orientace v zdravotní problematice. </w:t>
            </w:r>
          </w:p>
        </w:tc>
      </w:tr>
      <w:tr w:rsidR="00FF01DA" w:rsidRPr="00F77AAA" w14:paraId="78131029"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35336942" w14:textId="77777777" w:rsidR="00FF01DA" w:rsidRPr="00F77AAA" w:rsidRDefault="00FF01DA" w:rsidP="00FF01D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11 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FFE0486"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1.2.</w:t>
            </w:r>
          </w:p>
        </w:tc>
        <w:tc>
          <w:tcPr>
            <w:tcW w:w="1635" w:type="dxa"/>
            <w:tcBorders>
              <w:top w:val="single" w:sz="4" w:space="0" w:color="auto"/>
              <w:left w:val="single" w:sz="4" w:space="0" w:color="auto"/>
              <w:bottom w:val="single" w:sz="4" w:space="0" w:color="auto"/>
              <w:right w:val="nil"/>
            </w:tcBorders>
            <w:noWrap/>
            <w:vAlign w:val="center"/>
            <w:hideMark/>
          </w:tcPr>
          <w:p w14:paraId="2F006EE2"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hideMark/>
          </w:tcPr>
          <w:p w14:paraId="3EAAA4A6" w14:textId="7D4F135F" w:rsidR="00FF01DA" w:rsidRPr="00F77AAA" w:rsidRDefault="00FF01DA" w:rsidP="00FF01DA">
            <w:pPr>
              <w:spacing w:after="0" w:line="240" w:lineRule="auto"/>
              <w:jc w:val="center"/>
              <w:rPr>
                <w:rFonts w:ascii="Calibri" w:eastAsia="Times New Roman" w:hAnsi="Calibri" w:cs="Calibri"/>
                <w:b/>
                <w:bCs/>
                <w:color w:val="00B050"/>
                <w:kern w:val="0"/>
                <w:lang w:eastAsia="cs-CZ"/>
                <w14:ligatures w14:val="none"/>
              </w:rPr>
            </w:pPr>
            <w:r w:rsidRPr="00A37203">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337B5843" w14:textId="77777777" w:rsidR="00FF01DA" w:rsidRPr="00F77AAA" w:rsidRDefault="00FF01DA" w:rsidP="00FF01D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1DF5C1A8" w14:textId="77777777" w:rsidR="00FF01DA" w:rsidRPr="00F77AAA" w:rsidRDefault="00FF01DA" w:rsidP="00FF01D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Informace o péči jsou poskytované v jazykově dostupné a laicky srozumitelné formě, přizpůsobené věku a komunikačním potřebám pacientů. </w:t>
            </w:r>
          </w:p>
        </w:tc>
      </w:tr>
      <w:tr w:rsidR="00FF01DA" w:rsidRPr="00F77AAA" w14:paraId="05842700" w14:textId="77777777" w:rsidTr="034C28CC">
        <w:trPr>
          <w:trHeight w:val="75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0E5FF5B3"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12 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43FCA180"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1.2.</w:t>
            </w:r>
          </w:p>
        </w:tc>
        <w:tc>
          <w:tcPr>
            <w:tcW w:w="1635" w:type="dxa"/>
            <w:tcBorders>
              <w:top w:val="nil"/>
              <w:left w:val="single" w:sz="4" w:space="0" w:color="auto"/>
              <w:bottom w:val="single" w:sz="4" w:space="0" w:color="auto"/>
              <w:right w:val="nil"/>
            </w:tcBorders>
            <w:noWrap/>
            <w:vAlign w:val="center"/>
            <w:hideMark/>
          </w:tcPr>
          <w:p w14:paraId="4DCC789A"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nil"/>
              <w:left w:val="single" w:sz="4" w:space="0" w:color="000000" w:themeColor="text1"/>
              <w:bottom w:val="single" w:sz="4" w:space="0" w:color="auto"/>
              <w:right w:val="single" w:sz="4" w:space="0" w:color="000000" w:themeColor="text1"/>
            </w:tcBorders>
            <w:noWrap/>
            <w:vAlign w:val="center"/>
            <w:hideMark/>
          </w:tcPr>
          <w:p w14:paraId="383B8243"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E0127C5"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6D5F8BD4"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Stanovit komunikační postup pro sdělování diagnózy v CVSP-VO, orientovaný na citlivý přístup a respekt k pacientovi, zahrnující dostatek času na vysvětlení, možnost přítomnosti blízké osoby, poskytování srozumitelných informačních materiálů, nabídku psychologické a sociální podpory. </w:t>
            </w:r>
          </w:p>
        </w:tc>
      </w:tr>
      <w:tr w:rsidR="00FF01DA" w:rsidRPr="00F77AAA" w14:paraId="2CCA836A"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39D8DC87"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lastRenderedPageBreak/>
              <w:t>13 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093A8B82"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1.2.</w:t>
            </w:r>
          </w:p>
        </w:tc>
        <w:tc>
          <w:tcPr>
            <w:tcW w:w="1635" w:type="dxa"/>
            <w:tcBorders>
              <w:top w:val="single" w:sz="4" w:space="0" w:color="auto"/>
              <w:left w:val="single" w:sz="4" w:space="0" w:color="auto"/>
              <w:bottom w:val="single" w:sz="4" w:space="0" w:color="auto"/>
              <w:right w:val="nil"/>
            </w:tcBorders>
            <w:noWrap/>
            <w:vAlign w:val="center"/>
            <w:hideMark/>
          </w:tcPr>
          <w:p w14:paraId="2606BEB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auto"/>
              <w:left w:val="single" w:sz="4" w:space="0" w:color="000000" w:themeColor="text1"/>
              <w:bottom w:val="single" w:sz="4" w:space="0" w:color="000000" w:themeColor="text1"/>
              <w:right w:val="single" w:sz="4" w:space="0" w:color="000000" w:themeColor="text1"/>
            </w:tcBorders>
            <w:noWrap/>
            <w:vAlign w:val="center"/>
            <w:hideMark/>
          </w:tcPr>
          <w:p w14:paraId="6BCF26B4"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050CB863"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540A5E25"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Nastavit proces systematického zjišťování zpětné vazby od pacientů, včetně mechanismu analýzy a řešení nedostatků pro zlepšení kvality péče. </w:t>
            </w:r>
          </w:p>
        </w:tc>
      </w:tr>
      <w:tr w:rsidR="00FF01DA" w:rsidRPr="00F77AAA" w14:paraId="24DEDBEF" w14:textId="77777777" w:rsidTr="034C28CC">
        <w:trPr>
          <w:trHeight w:val="45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70204868"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14 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44FD4EB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1.2.</w:t>
            </w:r>
          </w:p>
        </w:tc>
        <w:tc>
          <w:tcPr>
            <w:tcW w:w="1635" w:type="dxa"/>
            <w:tcBorders>
              <w:top w:val="single" w:sz="4" w:space="0" w:color="auto"/>
              <w:left w:val="single" w:sz="4" w:space="0" w:color="auto"/>
              <w:bottom w:val="single" w:sz="4" w:space="0" w:color="auto"/>
              <w:right w:val="nil"/>
            </w:tcBorders>
            <w:noWrap/>
            <w:vAlign w:val="center"/>
            <w:hideMark/>
          </w:tcPr>
          <w:p w14:paraId="44C1A6BC"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5426557C"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DAA520F"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6A1AE562"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Zajistit možnost peer-podpory, kdy pacienti mohou sdílet zkušenosti s vyškolenými pacienty se stejným onemocněním. </w:t>
            </w:r>
          </w:p>
        </w:tc>
      </w:tr>
      <w:tr w:rsidR="00FF01DA" w:rsidRPr="00F77AAA" w14:paraId="15EB9D1F" w14:textId="77777777" w:rsidTr="034C28CC">
        <w:trPr>
          <w:trHeight w:val="46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4A838EB"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15 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49923272"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1.2.</w:t>
            </w:r>
          </w:p>
        </w:tc>
        <w:tc>
          <w:tcPr>
            <w:tcW w:w="1635" w:type="dxa"/>
            <w:tcBorders>
              <w:top w:val="single" w:sz="4" w:space="0" w:color="auto"/>
              <w:left w:val="single" w:sz="4" w:space="0" w:color="auto"/>
              <w:bottom w:val="single" w:sz="4" w:space="0" w:color="auto"/>
              <w:right w:val="nil"/>
            </w:tcBorders>
            <w:noWrap/>
            <w:vAlign w:val="center"/>
            <w:hideMark/>
          </w:tcPr>
          <w:p w14:paraId="08A609E6"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64D65ECC"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0EFF9254"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7D9D484D"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Zavést telemedicínské konzultace s důrazem na bezpečnost a standardizaci přenosu dat, aby se snížila nutnost osobních návštěv. (op.č.29)</w:t>
            </w:r>
          </w:p>
        </w:tc>
      </w:tr>
      <w:tr w:rsidR="00FF01DA" w:rsidRPr="00F77AAA" w14:paraId="5267E761" w14:textId="77777777" w:rsidTr="034C28CC">
        <w:trPr>
          <w:trHeight w:val="75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0AF77E83"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16 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1BDAA949"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1.2.</w:t>
            </w:r>
          </w:p>
        </w:tc>
        <w:tc>
          <w:tcPr>
            <w:tcW w:w="1635" w:type="dxa"/>
            <w:tcBorders>
              <w:top w:val="single" w:sz="4" w:space="0" w:color="auto"/>
              <w:left w:val="single" w:sz="4" w:space="0" w:color="auto"/>
              <w:bottom w:val="single" w:sz="4" w:space="0" w:color="auto"/>
              <w:right w:val="nil"/>
            </w:tcBorders>
            <w:noWrap/>
            <w:vAlign w:val="center"/>
            <w:hideMark/>
          </w:tcPr>
          <w:p w14:paraId="2E9D1A2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5C0132B1"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3502990D"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3FB65F04"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Zajistit bezpečný online přístup pacientů k jejich zdravotním údajům prostřednictvím propojených digitálních systémů. Pacienti mají možnost nahlížet do svých elektronických zdravotních záznamů, kontrolovat jejich sdílení a využívat digitální nástroje pro aktivní zapojení do péče o vlastní zdraví. </w:t>
            </w:r>
          </w:p>
        </w:tc>
      </w:tr>
      <w:tr w:rsidR="00FF01DA" w:rsidRPr="00F77AAA" w14:paraId="4EE4D5A3"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772466A7"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17 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1E1E4ADE"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1.2.</w:t>
            </w:r>
          </w:p>
        </w:tc>
        <w:tc>
          <w:tcPr>
            <w:tcW w:w="1635" w:type="dxa"/>
            <w:tcBorders>
              <w:top w:val="single" w:sz="4" w:space="0" w:color="auto"/>
              <w:left w:val="single" w:sz="4" w:space="0" w:color="auto"/>
              <w:bottom w:val="single" w:sz="4" w:space="0" w:color="auto"/>
              <w:right w:val="nil"/>
            </w:tcBorders>
            <w:noWrap/>
            <w:vAlign w:val="center"/>
            <w:hideMark/>
          </w:tcPr>
          <w:p w14:paraId="0B2AE43E"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0782DDD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4285473D"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0E0AC99A"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Podporovat a zvyšovat digitální zdravotní gramotnost pacientů a jejich blízkých, aby mohli aktivně využívat moderní technologie ve zdravotnictví. </w:t>
            </w:r>
          </w:p>
        </w:tc>
      </w:tr>
      <w:tr w:rsidR="00FF01DA" w:rsidRPr="00F77AAA" w14:paraId="7298DD7A" w14:textId="77777777" w:rsidTr="034C28CC">
        <w:trPr>
          <w:trHeight w:val="39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3BE4AD00"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18 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430822A6"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1.2.</w:t>
            </w:r>
          </w:p>
        </w:tc>
        <w:tc>
          <w:tcPr>
            <w:tcW w:w="1635" w:type="dxa"/>
            <w:tcBorders>
              <w:top w:val="nil"/>
              <w:left w:val="single" w:sz="4" w:space="0" w:color="auto"/>
              <w:bottom w:val="single" w:sz="4" w:space="0" w:color="auto"/>
              <w:right w:val="nil"/>
            </w:tcBorders>
            <w:noWrap/>
            <w:vAlign w:val="center"/>
            <w:hideMark/>
          </w:tcPr>
          <w:p w14:paraId="2A262142"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13D6AA7C" w14:textId="3001086F"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r w:rsidRPr="00A37203">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2D5711CB"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00525BD0"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Pacientské organizace se podílejí na implementaci této NSVO 2026-2035, jejím monitoringu a vyhodnocování. </w:t>
            </w:r>
          </w:p>
        </w:tc>
      </w:tr>
      <w:tr w:rsidR="00FF01DA" w:rsidRPr="00F77AAA" w14:paraId="0B63BF1D" w14:textId="77777777" w:rsidTr="034C28CC">
        <w:trPr>
          <w:trHeight w:val="39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6D7583E2"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19 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60A93C19"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2.1.</w:t>
            </w:r>
          </w:p>
        </w:tc>
        <w:tc>
          <w:tcPr>
            <w:tcW w:w="1635" w:type="dxa"/>
            <w:tcBorders>
              <w:top w:val="nil"/>
              <w:left w:val="single" w:sz="4" w:space="0" w:color="auto"/>
              <w:bottom w:val="single" w:sz="4" w:space="0" w:color="auto"/>
              <w:right w:val="nil"/>
            </w:tcBorders>
            <w:noWrap/>
            <w:vAlign w:val="center"/>
            <w:hideMark/>
          </w:tcPr>
          <w:p w14:paraId="57737315"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0312CAF8" w14:textId="3E7E6CBC"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03013383"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6021CA88"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Analýza dostupných dat o poskytování péče pacientům s VO (v NZIS a Národním registru VO). </w:t>
            </w:r>
          </w:p>
        </w:tc>
      </w:tr>
      <w:tr w:rsidR="00FF01DA" w:rsidRPr="00F77AAA" w14:paraId="6CB1CEE0"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0CA7631A"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20 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46C1289D"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2.1.</w:t>
            </w:r>
          </w:p>
        </w:tc>
        <w:tc>
          <w:tcPr>
            <w:tcW w:w="1635" w:type="dxa"/>
            <w:tcBorders>
              <w:top w:val="nil"/>
              <w:left w:val="single" w:sz="4" w:space="0" w:color="auto"/>
              <w:bottom w:val="single" w:sz="4" w:space="0" w:color="auto"/>
              <w:right w:val="nil"/>
            </w:tcBorders>
            <w:noWrap/>
            <w:vAlign w:val="center"/>
            <w:hideMark/>
          </w:tcPr>
          <w:p w14:paraId="7B3FEE6A"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5EAA617A" w14:textId="3C5B1AA7"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496A60A8"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110AF6FC"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Vyhodnocení získaných informací a odpovídající úprava stávajících nebo nastavení nových systémových opatření např. v podobě specifických standardů péče pro jednotlivé skupiny VO. </w:t>
            </w:r>
          </w:p>
        </w:tc>
      </w:tr>
      <w:tr w:rsidR="00FF01DA" w:rsidRPr="00F77AAA" w14:paraId="079FDE94" w14:textId="77777777" w:rsidTr="034C28CC">
        <w:trPr>
          <w:trHeight w:val="37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7C5A6374"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21 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3193642B"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2.1.</w:t>
            </w:r>
          </w:p>
        </w:tc>
        <w:tc>
          <w:tcPr>
            <w:tcW w:w="1635" w:type="dxa"/>
            <w:tcBorders>
              <w:top w:val="single" w:sz="4" w:space="0" w:color="auto"/>
              <w:left w:val="single" w:sz="4" w:space="0" w:color="auto"/>
              <w:bottom w:val="single" w:sz="4" w:space="0" w:color="auto"/>
              <w:right w:val="nil"/>
            </w:tcBorders>
            <w:noWrap/>
            <w:vAlign w:val="center"/>
            <w:hideMark/>
          </w:tcPr>
          <w:p w14:paraId="7E768635"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24078F20" w14:textId="0E1A5702"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10A7971"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19E1D472"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Vytvoření struktury pro zajištění péče o pacienty s nediagnostikovanými vzácnými onemocněními. </w:t>
            </w:r>
          </w:p>
        </w:tc>
      </w:tr>
      <w:tr w:rsidR="00FF01DA" w:rsidRPr="00F77AAA" w14:paraId="5E9F284E" w14:textId="77777777" w:rsidTr="034C28CC">
        <w:trPr>
          <w:trHeight w:val="45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B2A79FB"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22 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6EA44BE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2.1.</w:t>
            </w:r>
          </w:p>
        </w:tc>
        <w:tc>
          <w:tcPr>
            <w:tcW w:w="1635" w:type="dxa"/>
            <w:tcBorders>
              <w:top w:val="nil"/>
              <w:left w:val="single" w:sz="4" w:space="0" w:color="auto"/>
              <w:bottom w:val="single" w:sz="4" w:space="0" w:color="auto"/>
              <w:right w:val="nil"/>
            </w:tcBorders>
            <w:noWrap/>
            <w:vAlign w:val="center"/>
            <w:hideMark/>
          </w:tcPr>
          <w:p w14:paraId="3000DBEC"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2C01C214" w14:textId="48E82062"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r w:rsidRPr="00A37203">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5A7F4ED5"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61002BDA"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Zavádění dostupných nových forem poskytování péče do klinické praxe. </w:t>
            </w:r>
          </w:p>
        </w:tc>
      </w:tr>
      <w:tr w:rsidR="00FF01DA" w:rsidRPr="00F77AAA" w14:paraId="41583090" w14:textId="77777777" w:rsidTr="034C28CC">
        <w:trPr>
          <w:trHeight w:val="37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ADA1793"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23 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ED8D355"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2.1.</w:t>
            </w:r>
          </w:p>
        </w:tc>
        <w:tc>
          <w:tcPr>
            <w:tcW w:w="1635" w:type="dxa"/>
            <w:tcBorders>
              <w:top w:val="nil"/>
              <w:left w:val="single" w:sz="4" w:space="0" w:color="auto"/>
              <w:bottom w:val="single" w:sz="4" w:space="0" w:color="auto"/>
              <w:right w:val="nil"/>
            </w:tcBorders>
            <w:noWrap/>
            <w:vAlign w:val="center"/>
            <w:hideMark/>
          </w:tcPr>
          <w:p w14:paraId="3F304D14"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3B09D301" w14:textId="285E6D88"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02F0A5EF"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651A69C2"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Stanovení indikátorů kvality a efektivity specializované péče v centrech pro VO. </w:t>
            </w:r>
          </w:p>
        </w:tc>
      </w:tr>
      <w:tr w:rsidR="00FF01DA" w:rsidRPr="00F77AAA" w14:paraId="24B7F470"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6F4BE32B"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24 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19EF7B3F"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2.1.</w:t>
            </w:r>
          </w:p>
        </w:tc>
        <w:tc>
          <w:tcPr>
            <w:tcW w:w="1635" w:type="dxa"/>
            <w:tcBorders>
              <w:top w:val="nil"/>
              <w:left w:val="single" w:sz="4" w:space="0" w:color="auto"/>
              <w:bottom w:val="single" w:sz="4" w:space="0" w:color="auto"/>
              <w:right w:val="nil"/>
            </w:tcBorders>
            <w:noWrap/>
            <w:vAlign w:val="center"/>
            <w:hideMark/>
          </w:tcPr>
          <w:p w14:paraId="1357E7D2"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2E652527" w14:textId="499CD212"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794F160B"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6A0D8BC5" w14:textId="6E1E354B" w:rsidR="00FF01DA" w:rsidRPr="00F77AAA" w:rsidRDefault="0F260DBB"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 xml:space="preserve">Vytvoření standardů přechodové péče (pediatrické specializované péče do péče pro dospělé) a provázaní jejich nároků </w:t>
            </w:r>
            <w:r w:rsidR="7C8C13EA" w:rsidRPr="00F77AAA">
              <w:rPr>
                <w:rFonts w:ascii="Calibri" w:eastAsia="Times New Roman" w:hAnsi="Calibri" w:cs="Calibri"/>
                <w:color w:val="000000"/>
                <w:kern w:val="0"/>
                <w:sz w:val="18"/>
                <w:szCs w:val="18"/>
                <w:lang w:eastAsia="cs-CZ"/>
                <w14:ligatures w14:val="none"/>
              </w:rPr>
              <w:t xml:space="preserve">                   </w:t>
            </w:r>
            <w:r w:rsidRPr="00F77AAA">
              <w:rPr>
                <w:rFonts w:ascii="Calibri" w:eastAsia="Times New Roman" w:hAnsi="Calibri" w:cs="Calibri"/>
                <w:color w:val="000000"/>
                <w:kern w:val="0"/>
                <w:sz w:val="18"/>
                <w:szCs w:val="18"/>
                <w:lang w:eastAsia="cs-CZ"/>
                <w14:ligatures w14:val="none"/>
              </w:rPr>
              <w:t xml:space="preserve">s úhradovými mechanismy. </w:t>
            </w:r>
          </w:p>
        </w:tc>
      </w:tr>
      <w:tr w:rsidR="00FF01DA" w:rsidRPr="00F77AAA" w14:paraId="0E2D4C8C"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4029276E" w14:textId="77777777" w:rsidR="00FF01DA" w:rsidRPr="00F77AAA" w:rsidRDefault="00FF01DA" w:rsidP="00FF01D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25 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2CE1EF3F"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2.2.</w:t>
            </w:r>
          </w:p>
        </w:tc>
        <w:tc>
          <w:tcPr>
            <w:tcW w:w="1635" w:type="dxa"/>
            <w:tcBorders>
              <w:top w:val="single" w:sz="4" w:space="0" w:color="auto"/>
              <w:left w:val="single" w:sz="4" w:space="0" w:color="auto"/>
              <w:bottom w:val="single" w:sz="4" w:space="0" w:color="auto"/>
              <w:right w:val="nil"/>
            </w:tcBorders>
            <w:noWrap/>
            <w:vAlign w:val="center"/>
            <w:hideMark/>
          </w:tcPr>
          <w:p w14:paraId="72A41016"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1B0A11C8" w14:textId="26F3A326" w:rsidR="00FF01DA" w:rsidRPr="00F77AAA" w:rsidRDefault="00FF01DA" w:rsidP="00FF01DA">
            <w:pPr>
              <w:spacing w:after="0" w:line="240" w:lineRule="auto"/>
              <w:jc w:val="center"/>
              <w:rPr>
                <w:rFonts w:ascii="Calibri" w:eastAsia="Times New Roman" w:hAnsi="Calibri" w:cs="Calibri"/>
                <w:b/>
                <w:bCs/>
                <w:color w:val="00B050"/>
                <w:kern w:val="0"/>
                <w:lang w:eastAsia="cs-CZ"/>
                <w14:ligatures w14:val="none"/>
              </w:rPr>
            </w:pPr>
            <w:r w:rsidRPr="00A37203">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6C58EDCF" w14:textId="77777777" w:rsidR="00FF01DA" w:rsidRPr="00F77AAA" w:rsidRDefault="00FF01DA" w:rsidP="00FF01D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2AA81B55" w14:textId="77777777" w:rsidR="00FF01DA" w:rsidRPr="00F77AAA" w:rsidRDefault="00FF01DA" w:rsidP="00FF01D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CVSP-VO jsou vybavena moderními technologiemi pro diagnostiku, léčbu, monitoraci a management péče o pacienty s VO. </w:t>
            </w:r>
          </w:p>
        </w:tc>
      </w:tr>
      <w:tr w:rsidR="00FF01DA" w:rsidRPr="00F77AAA" w14:paraId="19DBA3FB"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7ADE40F7" w14:textId="77777777" w:rsidR="00FF01DA" w:rsidRPr="00F77AAA" w:rsidRDefault="00FF01DA" w:rsidP="00FF01D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26 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3706B424"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2.2.</w:t>
            </w:r>
          </w:p>
        </w:tc>
        <w:tc>
          <w:tcPr>
            <w:tcW w:w="1635" w:type="dxa"/>
            <w:tcBorders>
              <w:top w:val="nil"/>
              <w:left w:val="single" w:sz="4" w:space="0" w:color="auto"/>
              <w:bottom w:val="single" w:sz="4" w:space="0" w:color="auto"/>
              <w:right w:val="nil"/>
            </w:tcBorders>
            <w:noWrap/>
            <w:vAlign w:val="center"/>
            <w:hideMark/>
          </w:tcPr>
          <w:p w14:paraId="173995CF"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1734D9AE" w14:textId="25253358" w:rsidR="00FF01DA" w:rsidRPr="00F77AAA" w:rsidRDefault="00FF01DA" w:rsidP="00FF01DA">
            <w:pPr>
              <w:spacing w:after="0" w:line="240" w:lineRule="auto"/>
              <w:jc w:val="center"/>
              <w:rPr>
                <w:rFonts w:ascii="Calibri" w:eastAsia="Times New Roman" w:hAnsi="Calibri" w:cs="Calibri"/>
                <w:b/>
                <w:bCs/>
                <w:color w:val="00B050"/>
                <w:kern w:val="0"/>
                <w:lang w:eastAsia="cs-CZ"/>
                <w14:ligatures w14:val="none"/>
              </w:rPr>
            </w:pPr>
            <w:r w:rsidRPr="008E3CF8">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618F9385" w14:textId="77777777" w:rsidR="00FF01DA" w:rsidRPr="00F77AAA" w:rsidRDefault="00FF01DA" w:rsidP="00FF01D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5C1B2EB4" w14:textId="77777777" w:rsidR="00FF01DA" w:rsidRPr="00F77AAA" w:rsidRDefault="00FF01DA" w:rsidP="00FF01D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Rozvoj mezinárodní odborné spolupráce prostřednictvím systému CPMS. </w:t>
            </w:r>
          </w:p>
        </w:tc>
      </w:tr>
      <w:tr w:rsidR="00FF01DA" w:rsidRPr="00F77AAA" w14:paraId="40F5505B"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A2E9FF0"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27 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3B9DA24"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2.2.</w:t>
            </w:r>
          </w:p>
        </w:tc>
        <w:tc>
          <w:tcPr>
            <w:tcW w:w="1635" w:type="dxa"/>
            <w:tcBorders>
              <w:top w:val="single" w:sz="4" w:space="0" w:color="auto"/>
              <w:left w:val="single" w:sz="4" w:space="0" w:color="auto"/>
              <w:bottom w:val="single" w:sz="4" w:space="0" w:color="auto"/>
              <w:right w:val="nil"/>
            </w:tcBorders>
            <w:noWrap/>
            <w:vAlign w:val="center"/>
            <w:hideMark/>
          </w:tcPr>
          <w:p w14:paraId="1BF26B9A"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3E16A23A" w14:textId="00FE0236"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055A5627"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75A7C9CA"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Multidisciplinární systematické hodnocení (HTA) centralizovaně shromážděných dat a výsledků léčebných postupů za účelem optimalizace systému úhrad specializované péče reflektující technologický rozvoj. </w:t>
            </w:r>
          </w:p>
        </w:tc>
      </w:tr>
      <w:tr w:rsidR="00FF01DA" w:rsidRPr="00F77AAA" w14:paraId="2B545B32"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E188435"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28 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3CD30025"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2.2.</w:t>
            </w:r>
          </w:p>
        </w:tc>
        <w:tc>
          <w:tcPr>
            <w:tcW w:w="1635" w:type="dxa"/>
            <w:tcBorders>
              <w:top w:val="nil"/>
              <w:left w:val="single" w:sz="4" w:space="0" w:color="auto"/>
              <w:bottom w:val="single" w:sz="4" w:space="0" w:color="auto"/>
              <w:right w:val="nil"/>
            </w:tcBorders>
            <w:noWrap/>
            <w:vAlign w:val="center"/>
            <w:hideMark/>
          </w:tcPr>
          <w:p w14:paraId="05B95493"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31EE49AB" w14:textId="2BA7907C"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1D8CFCCA"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44CA98CA"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Zavést funkční mechanismus pro systematické předávání výstupů Poradního orgánu pro ORPHAN léčiva příslušným profesím zapojeným do péče o pacienty se vzácnými onemocněními. </w:t>
            </w:r>
          </w:p>
        </w:tc>
      </w:tr>
      <w:tr w:rsidR="00FF01DA" w:rsidRPr="00F77AAA" w14:paraId="1CBA4A8F"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5E3B5086"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29 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1BF1276"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2.2.</w:t>
            </w:r>
          </w:p>
        </w:tc>
        <w:tc>
          <w:tcPr>
            <w:tcW w:w="1635" w:type="dxa"/>
            <w:tcBorders>
              <w:top w:val="nil"/>
              <w:left w:val="single" w:sz="4" w:space="0" w:color="auto"/>
              <w:bottom w:val="single" w:sz="4" w:space="0" w:color="auto"/>
              <w:right w:val="nil"/>
            </w:tcBorders>
            <w:noWrap/>
            <w:vAlign w:val="center"/>
            <w:hideMark/>
          </w:tcPr>
          <w:p w14:paraId="2A3409CB"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29686AD1" w14:textId="565EA7BC"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25D6A500"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3684B902"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Vyhodnocení způsobů a přínosů integrace telemedicíny a distanční (zdravotní i sociální) péče do specializované péče o pacienty se VO a navržení způsobu jejich implementace. </w:t>
            </w:r>
          </w:p>
        </w:tc>
      </w:tr>
      <w:tr w:rsidR="00FF01DA" w:rsidRPr="00F77AAA" w14:paraId="08432AB3"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31CB18B5"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lastRenderedPageBreak/>
              <w:t>30 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5322F6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3.1.</w:t>
            </w:r>
          </w:p>
        </w:tc>
        <w:tc>
          <w:tcPr>
            <w:tcW w:w="1635" w:type="dxa"/>
            <w:tcBorders>
              <w:top w:val="nil"/>
              <w:left w:val="single" w:sz="4" w:space="0" w:color="auto"/>
              <w:bottom w:val="single" w:sz="4" w:space="0" w:color="auto"/>
              <w:right w:val="nil"/>
            </w:tcBorders>
            <w:noWrap/>
            <w:vAlign w:val="center"/>
            <w:hideMark/>
          </w:tcPr>
          <w:p w14:paraId="01516E52"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2C01E27B" w14:textId="0855AF9B"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F5A6658"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2A152542"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Zavedení pozice koordinátora péče při centrech vysoce specializované, případně i specializované péče o pacienty s VO, a to včetně stanovení kompetencí, rozsahu působnosti a odpovědností. </w:t>
            </w:r>
          </w:p>
        </w:tc>
      </w:tr>
      <w:tr w:rsidR="00FF01DA" w:rsidRPr="00F77AAA" w14:paraId="297F2F10"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3C9C0B7"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31 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28EE328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3.1.</w:t>
            </w:r>
          </w:p>
        </w:tc>
        <w:tc>
          <w:tcPr>
            <w:tcW w:w="1635" w:type="dxa"/>
            <w:tcBorders>
              <w:top w:val="single" w:sz="4" w:space="0" w:color="auto"/>
              <w:left w:val="single" w:sz="4" w:space="0" w:color="auto"/>
              <w:bottom w:val="single" w:sz="4" w:space="0" w:color="auto"/>
              <w:right w:val="nil"/>
            </w:tcBorders>
            <w:noWrap/>
            <w:vAlign w:val="center"/>
            <w:hideMark/>
          </w:tcPr>
          <w:p w14:paraId="5515590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2F0568A4" w14:textId="5A3E7013"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7D8C2228"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04075CC9"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Definice kapacitního modelu – tedy určení počtu úvazků koordinátorů v závislosti na počtu pacientů a typu onemocnění. </w:t>
            </w:r>
          </w:p>
        </w:tc>
      </w:tr>
      <w:tr w:rsidR="00FF01DA" w:rsidRPr="00F77AAA" w14:paraId="64324FF1" w14:textId="77777777" w:rsidTr="034C28CC">
        <w:trPr>
          <w:trHeight w:val="100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0F3D3A74"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32 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DC1224F"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3.1.</w:t>
            </w:r>
          </w:p>
        </w:tc>
        <w:tc>
          <w:tcPr>
            <w:tcW w:w="1635" w:type="dxa"/>
            <w:tcBorders>
              <w:top w:val="nil"/>
              <w:left w:val="single" w:sz="4" w:space="0" w:color="auto"/>
              <w:bottom w:val="single" w:sz="4" w:space="0" w:color="auto"/>
              <w:right w:val="nil"/>
            </w:tcBorders>
            <w:noWrap/>
            <w:vAlign w:val="center"/>
            <w:hideMark/>
          </w:tcPr>
          <w:p w14:paraId="554E1F5E"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31163DDA" w14:textId="2033EA50"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3D4FB2D5"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358C58AA"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Definování kompetencí centrových a komunitních (regionálních) koordinátorů v rámci zdravotní a sociální složky péče – s jasným vymezením jejich role vůči odborníkům, pacientům a jejich role v systému. (Koordinátor je podpůrnou osobou, nikoli odborným vedoucím léčby. Nepřebírá odpovědnost za rozhodování v oblasti diagnózy či terapie, ale pomáhá s realizací dohodnutého postupu, navigací systémem a zajištěním návazností. Bude nutné jasně vymezit roli samotného pacienta, který si zachovává autonomii a spolurozhodovací postavení). </w:t>
            </w:r>
          </w:p>
        </w:tc>
      </w:tr>
      <w:tr w:rsidR="00FF01DA" w:rsidRPr="00F77AAA" w14:paraId="729CE939"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7931B6C0"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33 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09D696C"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3.1.</w:t>
            </w:r>
          </w:p>
        </w:tc>
        <w:tc>
          <w:tcPr>
            <w:tcW w:w="1635" w:type="dxa"/>
            <w:tcBorders>
              <w:top w:val="nil"/>
              <w:left w:val="single" w:sz="4" w:space="0" w:color="auto"/>
              <w:bottom w:val="single" w:sz="4" w:space="0" w:color="auto"/>
              <w:right w:val="nil"/>
            </w:tcBorders>
            <w:noWrap/>
            <w:vAlign w:val="center"/>
            <w:hideMark/>
          </w:tcPr>
          <w:p w14:paraId="41E240E2"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1FDFF71E" w14:textId="02B0B683"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6E180BA5"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2B83994D" w14:textId="7DDD3DBE" w:rsidR="00FF01DA" w:rsidRPr="00F77AAA" w:rsidRDefault="0F260DBB"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 xml:space="preserve">Vytvoření metodiky pro jednotlivé složky v systému koordinace péče (pracovní postupy, komunikační toky, kompetenční rámec </w:t>
            </w:r>
            <w:r w:rsidR="1E9A20D6" w:rsidRPr="00F77AAA">
              <w:rPr>
                <w:rFonts w:ascii="Calibri" w:eastAsia="Times New Roman" w:hAnsi="Calibri" w:cs="Calibri"/>
                <w:color w:val="000000"/>
                <w:kern w:val="0"/>
                <w:sz w:val="18"/>
                <w:szCs w:val="18"/>
                <w:lang w:eastAsia="cs-CZ"/>
                <w14:ligatures w14:val="none"/>
              </w:rPr>
              <w:t xml:space="preserve">   </w:t>
            </w:r>
            <w:r w:rsidRPr="00F77AAA">
              <w:rPr>
                <w:rFonts w:ascii="Calibri" w:eastAsia="Times New Roman" w:hAnsi="Calibri" w:cs="Calibri"/>
                <w:color w:val="000000"/>
                <w:kern w:val="0"/>
                <w:sz w:val="18"/>
                <w:szCs w:val="18"/>
                <w:lang w:eastAsia="cs-CZ"/>
                <w14:ligatures w14:val="none"/>
              </w:rPr>
              <w:t>a spolupráci mezi centrovými a komunitními koordinátory a také case managementem). </w:t>
            </w:r>
          </w:p>
        </w:tc>
      </w:tr>
      <w:tr w:rsidR="00FF01DA" w:rsidRPr="00F77AAA" w14:paraId="4FB189BF"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08AC3023"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34 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B152D3A"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3.1.</w:t>
            </w:r>
          </w:p>
        </w:tc>
        <w:tc>
          <w:tcPr>
            <w:tcW w:w="1635" w:type="dxa"/>
            <w:tcBorders>
              <w:top w:val="nil"/>
              <w:left w:val="single" w:sz="4" w:space="0" w:color="auto"/>
              <w:bottom w:val="single" w:sz="4" w:space="0" w:color="auto"/>
              <w:right w:val="nil"/>
            </w:tcBorders>
            <w:noWrap/>
            <w:vAlign w:val="center"/>
            <w:hideMark/>
          </w:tcPr>
          <w:p w14:paraId="5674F78A"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6049516E" w14:textId="505682F3"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77C5E32A"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7DA8CC46"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Nastavení financování pozice koordinátorů péče v systému péče. </w:t>
            </w:r>
          </w:p>
        </w:tc>
      </w:tr>
      <w:tr w:rsidR="00FF01DA" w:rsidRPr="00F77AAA" w14:paraId="12714A9D"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68FE4903"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35 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1045CAAC"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3.1.</w:t>
            </w:r>
          </w:p>
        </w:tc>
        <w:tc>
          <w:tcPr>
            <w:tcW w:w="1635" w:type="dxa"/>
            <w:tcBorders>
              <w:top w:val="nil"/>
              <w:left w:val="single" w:sz="4" w:space="0" w:color="auto"/>
              <w:bottom w:val="single" w:sz="4" w:space="0" w:color="auto"/>
              <w:right w:val="nil"/>
            </w:tcBorders>
            <w:noWrap/>
            <w:vAlign w:val="center"/>
            <w:hideMark/>
          </w:tcPr>
          <w:p w14:paraId="607CE001"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31AA770E" w14:textId="21EA896F"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73A6351E"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4A50A25B"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Vytvoření systému pro pravidelné hodnocení efektivity a kvality koordinace péče, včetně sledování vybraných indikátorů (např. kontinuita návazných služeb apod.) a zpětné vazby od pacientů i odborníků. </w:t>
            </w:r>
          </w:p>
        </w:tc>
      </w:tr>
      <w:tr w:rsidR="00FF01DA" w:rsidRPr="00F77AAA" w14:paraId="1D17443B"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F481C70"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36 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08F63CD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3.2.</w:t>
            </w:r>
          </w:p>
        </w:tc>
        <w:tc>
          <w:tcPr>
            <w:tcW w:w="1635" w:type="dxa"/>
            <w:tcBorders>
              <w:top w:val="nil"/>
              <w:left w:val="single" w:sz="4" w:space="0" w:color="auto"/>
              <w:bottom w:val="single" w:sz="4" w:space="0" w:color="auto"/>
              <w:right w:val="nil"/>
            </w:tcBorders>
            <w:noWrap/>
            <w:vAlign w:val="center"/>
            <w:hideMark/>
          </w:tcPr>
          <w:p w14:paraId="6988D1F4"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40EB7347" w14:textId="3DA73A0C"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23B24B61"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0A0280E3" w14:textId="407C7D17" w:rsidR="00FF01DA" w:rsidRPr="00F77AAA" w:rsidRDefault="0F260DBB"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 xml:space="preserve">Definování role koordinátora péče v multidisciplinárním týmu (MDT), včetně vymezení jeho kompetencí v oblasti zdravotní </w:t>
            </w:r>
            <w:r w:rsidR="3B4A9D09" w:rsidRPr="00F77AAA">
              <w:rPr>
                <w:rFonts w:ascii="Calibri" w:eastAsia="Times New Roman" w:hAnsi="Calibri" w:cs="Calibri"/>
                <w:color w:val="000000"/>
                <w:kern w:val="0"/>
                <w:sz w:val="18"/>
                <w:szCs w:val="18"/>
                <w:lang w:eastAsia="cs-CZ"/>
                <w14:ligatures w14:val="none"/>
              </w:rPr>
              <w:t xml:space="preserve">           </w:t>
            </w:r>
            <w:r w:rsidRPr="00F77AAA">
              <w:rPr>
                <w:rFonts w:ascii="Calibri" w:eastAsia="Times New Roman" w:hAnsi="Calibri" w:cs="Calibri"/>
                <w:color w:val="000000"/>
                <w:kern w:val="0"/>
                <w:sz w:val="18"/>
                <w:szCs w:val="18"/>
                <w:lang w:eastAsia="cs-CZ"/>
                <w14:ligatures w14:val="none"/>
              </w:rPr>
              <w:t>a sociální agendy. </w:t>
            </w:r>
          </w:p>
        </w:tc>
      </w:tr>
      <w:tr w:rsidR="00FF01DA" w:rsidRPr="00F77AAA" w14:paraId="0E2761B5"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20A15504"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37 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0FDBFC90"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3.2.</w:t>
            </w:r>
          </w:p>
        </w:tc>
        <w:tc>
          <w:tcPr>
            <w:tcW w:w="1635" w:type="dxa"/>
            <w:tcBorders>
              <w:top w:val="single" w:sz="4" w:space="0" w:color="auto"/>
              <w:left w:val="single" w:sz="4" w:space="0" w:color="auto"/>
              <w:bottom w:val="single" w:sz="4" w:space="0" w:color="auto"/>
              <w:right w:val="nil"/>
            </w:tcBorders>
            <w:noWrap/>
            <w:vAlign w:val="center"/>
            <w:hideMark/>
          </w:tcPr>
          <w:p w14:paraId="0574E9F9"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714097C6" w14:textId="536AA637"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60B681C"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0EA5EAA4"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Specifikace kapacitní potřeby pro zapojení sociálních pracovníků a psychologů v MDT jednotlivých specializovaných center. </w:t>
            </w:r>
          </w:p>
        </w:tc>
      </w:tr>
      <w:tr w:rsidR="00FF01DA" w:rsidRPr="00F77AAA" w14:paraId="6845B115" w14:textId="77777777" w:rsidTr="034C28CC">
        <w:trPr>
          <w:trHeight w:val="75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7DC2536"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38 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69A1AB95"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3.2.</w:t>
            </w:r>
          </w:p>
        </w:tc>
        <w:tc>
          <w:tcPr>
            <w:tcW w:w="1635" w:type="dxa"/>
            <w:tcBorders>
              <w:top w:val="nil"/>
              <w:left w:val="single" w:sz="4" w:space="0" w:color="auto"/>
              <w:bottom w:val="single" w:sz="4" w:space="0" w:color="auto"/>
              <w:right w:val="nil"/>
            </w:tcBorders>
            <w:noWrap/>
            <w:vAlign w:val="center"/>
            <w:hideMark/>
          </w:tcPr>
          <w:p w14:paraId="7A405D99"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1253BB0F" w14:textId="3D776D3D"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313BE752"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62260975" w14:textId="70CBCDC4" w:rsidR="00FF01DA" w:rsidRPr="00F77AAA" w:rsidRDefault="0F260DBB"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 xml:space="preserve">Na úrovni regionů zmapovat kapacity sociálních i zdravotních služeb a nominovat koordinujícího regionálního sociálního pracovníka, který bude spolupracovat s komunitním koordinátorem a napojovat pacienty na dostupné služby v místě bydliště </w:t>
            </w:r>
            <w:r w:rsidR="59D06045" w:rsidRPr="00F77AAA">
              <w:rPr>
                <w:rFonts w:ascii="Calibri" w:eastAsia="Times New Roman" w:hAnsi="Calibri" w:cs="Calibri"/>
                <w:color w:val="000000"/>
                <w:kern w:val="0"/>
                <w:sz w:val="18"/>
                <w:szCs w:val="18"/>
                <w:lang w:eastAsia="cs-CZ"/>
                <w14:ligatures w14:val="none"/>
              </w:rPr>
              <w:t xml:space="preserve">      </w:t>
            </w:r>
            <w:r w:rsidRPr="00F77AAA">
              <w:rPr>
                <w:rFonts w:ascii="Calibri" w:eastAsia="Times New Roman" w:hAnsi="Calibri" w:cs="Calibri"/>
                <w:color w:val="000000"/>
                <w:kern w:val="0"/>
                <w:sz w:val="18"/>
                <w:szCs w:val="18"/>
                <w:lang w:eastAsia="cs-CZ"/>
                <w14:ligatures w14:val="none"/>
              </w:rPr>
              <w:t>– např. domácí péči, sociální poradenství, asistenci, paliativní péči, ranou péči nebo služby pro podporu zaměstnanosti a vzdělávání. </w:t>
            </w:r>
          </w:p>
        </w:tc>
      </w:tr>
      <w:tr w:rsidR="00FF01DA" w:rsidRPr="00F77AAA" w14:paraId="7BCFF47C"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54A75BD4"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39 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048EFAAF"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3.2.</w:t>
            </w:r>
          </w:p>
        </w:tc>
        <w:tc>
          <w:tcPr>
            <w:tcW w:w="1635" w:type="dxa"/>
            <w:tcBorders>
              <w:top w:val="nil"/>
              <w:left w:val="single" w:sz="4" w:space="0" w:color="auto"/>
              <w:bottom w:val="single" w:sz="4" w:space="0" w:color="auto"/>
              <w:right w:val="nil"/>
            </w:tcBorders>
            <w:noWrap/>
            <w:vAlign w:val="center"/>
            <w:hideMark/>
          </w:tcPr>
          <w:p w14:paraId="7C33B382"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667A7B4F" w14:textId="29A68E29"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03D973EC"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4840DFA1"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Vytvoření modelu integrované péče, který formálně propojí zdravotní a sociální služby – včetně definování pracovních postupů, sdílení informací a plánování péče. </w:t>
            </w:r>
          </w:p>
        </w:tc>
      </w:tr>
      <w:tr w:rsidR="00FF01DA" w:rsidRPr="00F77AAA" w14:paraId="1F4D7497"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73E32072"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40 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7635D663"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3.2.</w:t>
            </w:r>
          </w:p>
        </w:tc>
        <w:tc>
          <w:tcPr>
            <w:tcW w:w="1635" w:type="dxa"/>
            <w:tcBorders>
              <w:top w:val="nil"/>
              <w:left w:val="single" w:sz="4" w:space="0" w:color="auto"/>
              <w:bottom w:val="single" w:sz="4" w:space="0" w:color="auto"/>
              <w:right w:val="nil"/>
            </w:tcBorders>
            <w:noWrap/>
            <w:vAlign w:val="center"/>
            <w:hideMark/>
          </w:tcPr>
          <w:p w14:paraId="0A6E86AF"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4D319EA5" w14:textId="75A87BEE"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03A00D31"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2E26BDD6"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Nastavení procesů pro sdílení klíčových informací ze zdravotní a sociální oblasti péče o pacienta se VO. </w:t>
            </w:r>
          </w:p>
        </w:tc>
      </w:tr>
      <w:tr w:rsidR="00FF01DA" w:rsidRPr="00F77AAA" w14:paraId="531036B4"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797E8105"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41 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014AC415"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3.2.</w:t>
            </w:r>
          </w:p>
        </w:tc>
        <w:tc>
          <w:tcPr>
            <w:tcW w:w="1635" w:type="dxa"/>
            <w:tcBorders>
              <w:top w:val="nil"/>
              <w:left w:val="single" w:sz="4" w:space="0" w:color="auto"/>
              <w:bottom w:val="single" w:sz="4" w:space="0" w:color="auto"/>
              <w:right w:val="nil"/>
            </w:tcBorders>
            <w:noWrap/>
            <w:vAlign w:val="center"/>
            <w:hideMark/>
          </w:tcPr>
          <w:p w14:paraId="2C511486"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3D8D29AE" w14:textId="5BA74CC6"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6B84C4BF"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5F7CD550"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Zavést mechanismy pro hodnocení kvality a efektivity integrované péče. </w:t>
            </w:r>
          </w:p>
        </w:tc>
      </w:tr>
      <w:tr w:rsidR="00FF01DA" w:rsidRPr="00F77AAA" w14:paraId="3CE977F0"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300F6CA9"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42 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3CAC7DE"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3.2.</w:t>
            </w:r>
          </w:p>
        </w:tc>
        <w:tc>
          <w:tcPr>
            <w:tcW w:w="1635" w:type="dxa"/>
            <w:tcBorders>
              <w:top w:val="single" w:sz="4" w:space="0" w:color="auto"/>
              <w:left w:val="single" w:sz="4" w:space="0" w:color="auto"/>
              <w:bottom w:val="single" w:sz="4" w:space="0" w:color="auto"/>
              <w:right w:val="nil"/>
            </w:tcBorders>
            <w:noWrap/>
            <w:vAlign w:val="center"/>
            <w:hideMark/>
          </w:tcPr>
          <w:p w14:paraId="25626D63"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4C0B2B5B" w14:textId="3C3936C0"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638B2B55"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6D0A3D95" w14:textId="50BE169A" w:rsidR="00FF01DA" w:rsidRPr="00F77AAA" w:rsidRDefault="0F260DBB"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Zmapování potřeb blízkých pečujících osob/neformálních pečujících včetně typologie provázanosti specifičnosti péče a potřeb</w:t>
            </w:r>
            <w:r w:rsidR="7E39219E" w:rsidRPr="00F77AAA">
              <w:rPr>
                <w:rFonts w:ascii="Calibri" w:eastAsia="Times New Roman" w:hAnsi="Calibri" w:cs="Calibri"/>
                <w:color w:val="000000"/>
                <w:kern w:val="0"/>
                <w:sz w:val="18"/>
                <w:szCs w:val="18"/>
                <w:lang w:eastAsia="cs-CZ"/>
                <w14:ligatures w14:val="none"/>
              </w:rPr>
              <w:t xml:space="preserve">     </w:t>
            </w:r>
            <w:r w:rsidRPr="00F77AAA">
              <w:rPr>
                <w:rFonts w:ascii="Calibri" w:eastAsia="Times New Roman" w:hAnsi="Calibri" w:cs="Calibri"/>
                <w:color w:val="000000"/>
                <w:kern w:val="0"/>
                <w:sz w:val="18"/>
                <w:szCs w:val="18"/>
                <w:lang w:eastAsia="cs-CZ"/>
                <w14:ligatures w14:val="none"/>
              </w:rPr>
              <w:t xml:space="preserve"> u pacientů s VO. </w:t>
            </w:r>
          </w:p>
        </w:tc>
      </w:tr>
      <w:tr w:rsidR="00FF01DA" w:rsidRPr="00F77AAA" w14:paraId="0D1E5A5D"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63AB00EF"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43 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3A85F18D"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3.2.</w:t>
            </w:r>
          </w:p>
        </w:tc>
        <w:tc>
          <w:tcPr>
            <w:tcW w:w="1635" w:type="dxa"/>
            <w:tcBorders>
              <w:top w:val="single" w:sz="4" w:space="0" w:color="auto"/>
              <w:left w:val="single" w:sz="4" w:space="0" w:color="auto"/>
              <w:bottom w:val="single" w:sz="4" w:space="0" w:color="auto"/>
              <w:right w:val="nil"/>
            </w:tcBorders>
            <w:noWrap/>
            <w:vAlign w:val="center"/>
            <w:hideMark/>
          </w:tcPr>
          <w:p w14:paraId="3F9091BA"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28336ECE" w14:textId="79F63006"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82E8D55"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0CF0CE13"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Zapojení pacientských organizací a dalších důležitých subjektů do procesů mapování sociálních potřeb pacientů. </w:t>
            </w:r>
          </w:p>
        </w:tc>
      </w:tr>
      <w:tr w:rsidR="00FF01DA" w:rsidRPr="00F77AAA" w14:paraId="150D6F10" w14:textId="77777777" w:rsidTr="034C28CC">
        <w:trPr>
          <w:trHeight w:val="6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607D62BF"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44 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15AE69CD"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5F1DA26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0EEC4DD2" w14:textId="749D52EF"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1A722332"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27BCE798"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Podpora mentoringu a odborné supervize, včetně zapojení zahraničních mentorů. </w:t>
            </w:r>
          </w:p>
        </w:tc>
      </w:tr>
      <w:tr w:rsidR="00FF01DA" w:rsidRPr="00F77AAA" w14:paraId="517145AB"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3F6A7F2C"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45 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7CDC716B"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2FF81C3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5C5F5E0B" w14:textId="5283854C"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1A7B3B2"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29A59C7E"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Přístup zdravotnických pracovníků k e-learningovým kurzům, odborné literatuře, databázím a moderním vzdělávacím nástrojům. </w:t>
            </w:r>
          </w:p>
        </w:tc>
      </w:tr>
      <w:tr w:rsidR="00FF01DA" w:rsidRPr="00F77AAA" w14:paraId="29AF354C"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018A9E4C"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46 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72B3FDD0"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7E1D022E"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39E99506" w14:textId="1A9D92CC"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106D9D3"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0EDF5AE8"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Vzdělávání v oblasti VO je nedílnou součástí celoživotního profesního rozvoje zdravotnických pracovníků. </w:t>
            </w:r>
          </w:p>
        </w:tc>
      </w:tr>
      <w:tr w:rsidR="00FF01DA" w:rsidRPr="00F77AAA" w14:paraId="1E104481"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419C753C"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lastRenderedPageBreak/>
              <w:t>47 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7E06DB9D"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682402E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48905546" w14:textId="2A155BF3"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642433D9"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5BE5E85E"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Dostupnost školení v oblasti elektronizace zdravotnictví. </w:t>
            </w:r>
          </w:p>
        </w:tc>
      </w:tr>
      <w:tr w:rsidR="00FF01DA" w:rsidRPr="00F77AAA" w14:paraId="040A5AC7"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7120C0FB"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48 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408B4D6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3B254DDF"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21293B9B" w14:textId="107549D4"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45E069BF"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4D45A651"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Školení pro praktické lékaře a lékaře pro děti a dorost zaměřená na rozpoznání a včasné nasměrování pacientů s podezřením na VO systémem péče. </w:t>
            </w:r>
          </w:p>
        </w:tc>
      </w:tr>
      <w:tr w:rsidR="00FF01DA" w:rsidRPr="00F77AAA" w14:paraId="41C74A57"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C49469B"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49 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8EEADE6"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5792429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auto"/>
              <w:right w:val="single" w:sz="4" w:space="0" w:color="000000" w:themeColor="text1"/>
            </w:tcBorders>
            <w:noWrap/>
            <w:vAlign w:val="center"/>
          </w:tcPr>
          <w:p w14:paraId="2111AC98" w14:textId="7E9E079A"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3E1701DC"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13AF2912"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Pregraduální a postgraduální studium lékařských oborů zohledňují oblast VO zahrnující nejen zdravotní, ale i sociální problematiku. </w:t>
            </w:r>
          </w:p>
        </w:tc>
      </w:tr>
      <w:tr w:rsidR="00FF01DA" w:rsidRPr="00F77AAA" w14:paraId="28CC3DC3"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57BCB4B"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50 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384A00DB"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0A0F96A5"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auto"/>
              <w:left w:val="single" w:sz="4" w:space="0" w:color="000000" w:themeColor="text1"/>
              <w:bottom w:val="single" w:sz="4" w:space="0" w:color="000000" w:themeColor="text1"/>
              <w:right w:val="single" w:sz="4" w:space="0" w:color="000000" w:themeColor="text1"/>
            </w:tcBorders>
            <w:vAlign w:val="center"/>
            <w:hideMark/>
          </w:tcPr>
          <w:p w14:paraId="1312FD8E" w14:textId="10831974" w:rsidR="00FF01DA" w:rsidRPr="00F77AAA" w:rsidRDefault="00FF01DA" w:rsidP="00F77AAA">
            <w:pPr>
              <w:spacing w:after="0" w:line="240" w:lineRule="auto"/>
              <w:jc w:val="center"/>
              <w:rPr>
                <w:rFonts w:ascii="Aptos Narrow" w:eastAsia="Times New Roman" w:hAnsi="Aptos Narrow" w:cs="Calibri"/>
                <w:b/>
                <w:bCs/>
                <w:color w:val="00B050"/>
                <w:kern w:val="0"/>
                <w:sz w:val="18"/>
                <w:szCs w:val="18"/>
                <w:lang w:eastAsia="cs-CZ"/>
                <w14:ligatures w14:val="none"/>
              </w:rPr>
            </w:pPr>
            <w:r>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5A95DA3F"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41E27C6D"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Pregraduální studium nelékařských oborů zohledňují oblast VO zahrnující nejen zdravotní, ale i sociální problematiku bude definováno v tzv. Kvalifikačním standardu pro všeobecné sestry (</w:t>
            </w:r>
            <w:r w:rsidRPr="00F77AAA">
              <w:rPr>
                <w:rFonts w:ascii="Calibri" w:eastAsia="Times New Roman" w:hAnsi="Calibri" w:cs="Calibri"/>
                <w:b/>
                <w:bCs/>
                <w:kern w:val="0"/>
                <w:sz w:val="18"/>
                <w:szCs w:val="18"/>
                <w:lang w:eastAsia="cs-CZ"/>
                <w14:ligatures w14:val="none"/>
              </w:rPr>
              <w:t>při příští aktualizaci). </w:t>
            </w:r>
          </w:p>
        </w:tc>
      </w:tr>
      <w:tr w:rsidR="00FF01DA" w:rsidRPr="00F77AAA" w14:paraId="15D27999"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3E6A255A"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51 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4279B13"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0E74F994"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389755CB" w14:textId="10743782"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20C31AF9"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77EE8E35"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V oblasti postgraduálního studia nelékařských oborů zohledňujících oblast VO budou vytvořeny a nabízeny kurzy v rámci celoživotního vzdělávání. </w:t>
            </w:r>
          </w:p>
        </w:tc>
      </w:tr>
      <w:tr w:rsidR="00FF01DA" w:rsidRPr="00F77AAA" w14:paraId="0AD96E8E"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468F9D40"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52 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8F3272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0331F55D"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2E9E9D5E" w14:textId="33215F29"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r>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1607FBEA"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4B58058A"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Začlenění témat VO do agendy odborných kongresů napříč obory. </w:t>
            </w:r>
          </w:p>
        </w:tc>
      </w:tr>
      <w:tr w:rsidR="00FF01DA" w:rsidRPr="00F77AAA" w14:paraId="21E156CC"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5272F4E2"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53 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1103BADD"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57246B41"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2B337495" w14:textId="224C6530"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700C350B"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1F5BDAB0"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Školení koordinátorů péče a sociálních pracovníků v oblasti specifik VO. </w:t>
            </w:r>
          </w:p>
        </w:tc>
      </w:tr>
      <w:tr w:rsidR="00FF01DA" w:rsidRPr="00F77AAA" w14:paraId="5B531D2F"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5CCBA72D"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54 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295515B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402ECDD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5E9BB26E" w14:textId="67D2AC3D"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1619136F"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5B0B4B43"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Podpora výměny zkušeností mezi CVSP-VO a dalšími evropskými centry pro VO. </w:t>
            </w:r>
          </w:p>
        </w:tc>
      </w:tr>
      <w:tr w:rsidR="00FF01DA" w:rsidRPr="00F77AAA" w14:paraId="32FBC466"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E9377BB"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55 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3159CB4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4.1.</w:t>
            </w:r>
          </w:p>
        </w:tc>
        <w:tc>
          <w:tcPr>
            <w:tcW w:w="1635" w:type="dxa"/>
            <w:tcBorders>
              <w:top w:val="single" w:sz="4" w:space="0" w:color="auto"/>
              <w:left w:val="single" w:sz="4" w:space="0" w:color="auto"/>
              <w:bottom w:val="single" w:sz="4" w:space="0" w:color="auto"/>
              <w:right w:val="nil"/>
            </w:tcBorders>
            <w:noWrap/>
            <w:vAlign w:val="center"/>
            <w:hideMark/>
          </w:tcPr>
          <w:p w14:paraId="5CD83BBB"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6E786613" w14:textId="18269D25"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1BF0CB62" w14:textId="77777777" w:rsidR="00FF01DA" w:rsidRPr="00F77AAA" w:rsidRDefault="00FF01DA" w:rsidP="00F77AAA">
            <w:pPr>
              <w:spacing w:after="0" w:line="240" w:lineRule="auto"/>
              <w:jc w:val="center"/>
              <w:rPr>
                <w:rFonts w:ascii="Calibri" w:eastAsia="Times New Roman" w:hAnsi="Calibri" w:cs="Calibri"/>
                <w:b/>
                <w:bCs/>
                <w:color w:val="D900FF"/>
                <w:kern w:val="0"/>
                <w:lang w:eastAsia="cs-CZ"/>
                <w14:ligatures w14:val="none"/>
              </w:rPr>
            </w:pPr>
            <w:r w:rsidRPr="00F77AAA">
              <w:rPr>
                <w:rFonts w:ascii="Calibri" w:eastAsia="Times New Roman" w:hAnsi="Calibri" w:cs="Calibri"/>
                <w:b/>
                <w:bCs/>
                <w:color w:val="D900FF"/>
                <w:kern w:val="0"/>
                <w:lang w:eastAsia="cs-CZ"/>
                <w14:ligatures w14:val="none"/>
              </w:rPr>
              <w:t>B</w:t>
            </w:r>
          </w:p>
        </w:tc>
        <w:tc>
          <w:tcPr>
            <w:tcW w:w="9099" w:type="dxa"/>
            <w:tcBorders>
              <w:top w:val="single" w:sz="4" w:space="0" w:color="auto"/>
              <w:left w:val="single" w:sz="4" w:space="0" w:color="auto"/>
              <w:bottom w:val="single" w:sz="4" w:space="0" w:color="auto"/>
              <w:right w:val="single" w:sz="4" w:space="0" w:color="auto"/>
            </w:tcBorders>
            <w:hideMark/>
          </w:tcPr>
          <w:p w14:paraId="7FB73867"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Zavedení informací o principech sdíleného rozhodování, „shared decision-making“ a změnách v komunikaci s pacientem do výuky pro lékaře a ostatní zdravotnické pracovníky. </w:t>
            </w:r>
          </w:p>
        </w:tc>
      </w:tr>
      <w:tr w:rsidR="00FF01DA" w:rsidRPr="00F77AAA" w14:paraId="15E30469"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7FAA55FE"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56 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7747E122"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4.2.</w:t>
            </w:r>
          </w:p>
        </w:tc>
        <w:tc>
          <w:tcPr>
            <w:tcW w:w="1635" w:type="dxa"/>
            <w:tcBorders>
              <w:top w:val="single" w:sz="4" w:space="0" w:color="auto"/>
              <w:left w:val="single" w:sz="4" w:space="0" w:color="auto"/>
              <w:bottom w:val="single" w:sz="4" w:space="0" w:color="auto"/>
              <w:right w:val="nil"/>
            </w:tcBorders>
            <w:noWrap/>
            <w:vAlign w:val="center"/>
            <w:hideMark/>
          </w:tcPr>
          <w:p w14:paraId="1B94D362"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3 (2033-35)</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377E1E29" w14:textId="1C674705"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7C57D046"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4FDE1546"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Zavedení koordinovaného rámce pro výzkumnou a vzdělávací činnost specializovaných center za účelem systematického zapojení do evropských výzkumných projektů, sdílení know-how a budování kapacit. </w:t>
            </w:r>
          </w:p>
        </w:tc>
      </w:tr>
      <w:tr w:rsidR="00FF01DA" w:rsidRPr="00F77AAA" w14:paraId="564B39CE"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412CEBCA"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57 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08BBBDCD"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4.2.</w:t>
            </w:r>
          </w:p>
        </w:tc>
        <w:tc>
          <w:tcPr>
            <w:tcW w:w="1635" w:type="dxa"/>
            <w:tcBorders>
              <w:top w:val="single" w:sz="4" w:space="0" w:color="auto"/>
              <w:left w:val="single" w:sz="4" w:space="0" w:color="auto"/>
              <w:bottom w:val="single" w:sz="4" w:space="0" w:color="auto"/>
              <w:right w:val="nil"/>
            </w:tcBorders>
            <w:noWrap/>
            <w:vAlign w:val="center"/>
            <w:hideMark/>
          </w:tcPr>
          <w:p w14:paraId="256D0BF5"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63708F77" w14:textId="411C5598"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703CC3C9"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662FE403"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Zavedení výzkumné a publikační činnosti jako jednoho z indikátorů kvality péče ve specializovaných centrech, a její zohlednění při hodnocení center. </w:t>
            </w:r>
          </w:p>
        </w:tc>
      </w:tr>
      <w:tr w:rsidR="00FF01DA" w:rsidRPr="00F77AAA" w14:paraId="744B4EFB"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EF57133"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58 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4A80D391"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4.2.</w:t>
            </w:r>
          </w:p>
        </w:tc>
        <w:tc>
          <w:tcPr>
            <w:tcW w:w="1635" w:type="dxa"/>
            <w:tcBorders>
              <w:top w:val="single" w:sz="4" w:space="0" w:color="auto"/>
              <w:left w:val="single" w:sz="4" w:space="0" w:color="auto"/>
              <w:bottom w:val="single" w:sz="4" w:space="0" w:color="auto"/>
              <w:right w:val="nil"/>
            </w:tcBorders>
            <w:noWrap/>
            <w:vAlign w:val="center"/>
            <w:hideMark/>
          </w:tcPr>
          <w:p w14:paraId="4B414182"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3 (2033-35)</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217AFE48" w14:textId="770C8CB2"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0679D2C5"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0A979567"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Zavedení systému monitoringu účasti zástupců ČR v ERN/NRN na mezinárodních výzkumných aktivitách a vytvoření mechanismu pro přenos výsledků do národních klinických doporučení a standardů péče. </w:t>
            </w:r>
          </w:p>
        </w:tc>
      </w:tr>
      <w:tr w:rsidR="00FF01DA" w:rsidRPr="00F77AAA" w14:paraId="20DF5007"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0821E6BA"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59 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029394D4"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4.2.</w:t>
            </w:r>
          </w:p>
        </w:tc>
        <w:tc>
          <w:tcPr>
            <w:tcW w:w="1635" w:type="dxa"/>
            <w:tcBorders>
              <w:top w:val="single" w:sz="4" w:space="0" w:color="auto"/>
              <w:left w:val="single" w:sz="4" w:space="0" w:color="auto"/>
              <w:bottom w:val="single" w:sz="4" w:space="0" w:color="auto"/>
              <w:right w:val="nil"/>
            </w:tcBorders>
            <w:noWrap/>
            <w:vAlign w:val="center"/>
            <w:hideMark/>
          </w:tcPr>
          <w:p w14:paraId="72C1360B"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3 (2033-35)</w:t>
            </w:r>
          </w:p>
        </w:tc>
        <w:tc>
          <w:tcPr>
            <w:tcW w:w="990" w:type="dxa"/>
            <w:tcBorders>
              <w:top w:val="nil"/>
              <w:left w:val="single" w:sz="4" w:space="0" w:color="000000" w:themeColor="text1"/>
              <w:bottom w:val="single" w:sz="4" w:space="0" w:color="000000" w:themeColor="text1"/>
              <w:right w:val="single" w:sz="4" w:space="0" w:color="000000" w:themeColor="text1"/>
            </w:tcBorders>
            <w:noWrap/>
            <w:vAlign w:val="center"/>
            <w:hideMark/>
          </w:tcPr>
          <w:p w14:paraId="79434A91" w14:textId="215E7D9C"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r>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25909649"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36E240DE"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Zapojení pacientských organizací do výzkumných, vzdělávacích a informačních aktivit v oblasti VO. </w:t>
            </w:r>
          </w:p>
        </w:tc>
      </w:tr>
      <w:tr w:rsidR="00FF01DA" w:rsidRPr="00F77AAA" w14:paraId="30AA6A0F"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320DEC0B"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60 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3CDA44E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4.2.</w:t>
            </w:r>
          </w:p>
        </w:tc>
        <w:tc>
          <w:tcPr>
            <w:tcW w:w="1635" w:type="dxa"/>
            <w:tcBorders>
              <w:top w:val="single" w:sz="4" w:space="0" w:color="auto"/>
              <w:left w:val="single" w:sz="4" w:space="0" w:color="auto"/>
              <w:bottom w:val="single" w:sz="4" w:space="0" w:color="auto"/>
              <w:right w:val="nil"/>
            </w:tcBorders>
            <w:noWrap/>
            <w:vAlign w:val="center"/>
            <w:hideMark/>
          </w:tcPr>
          <w:p w14:paraId="1C925F89"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3667C9C9" w14:textId="410581A5"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46B4F4A4"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271A2281"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Zapojení do Evropského partnerství pro výzkum vzácných onemocnění ERDERA. </w:t>
            </w:r>
          </w:p>
        </w:tc>
      </w:tr>
      <w:tr w:rsidR="00FF01DA" w:rsidRPr="00F77AAA" w14:paraId="52CB7A51"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4B387F6"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61 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BBE642F"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4.3.</w:t>
            </w:r>
          </w:p>
        </w:tc>
        <w:tc>
          <w:tcPr>
            <w:tcW w:w="1635" w:type="dxa"/>
            <w:tcBorders>
              <w:top w:val="single" w:sz="4" w:space="0" w:color="auto"/>
              <w:left w:val="single" w:sz="4" w:space="0" w:color="auto"/>
              <w:bottom w:val="single" w:sz="4" w:space="0" w:color="auto"/>
              <w:right w:val="nil"/>
            </w:tcBorders>
            <w:noWrap/>
            <w:vAlign w:val="center"/>
            <w:hideMark/>
          </w:tcPr>
          <w:p w14:paraId="32163FBC"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1A97CEEA" w14:textId="0B4B64B8"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4CE9A2A6"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3A11AA9F"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Odborníky ověřené, aktualizované a uživatelsky přívětivé informace o VO jsou dostupné online. </w:t>
            </w:r>
          </w:p>
        </w:tc>
      </w:tr>
      <w:tr w:rsidR="00FF01DA" w:rsidRPr="00F77AAA" w14:paraId="29734BD0"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6320461F"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62 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6EE5869A"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4.3.</w:t>
            </w:r>
          </w:p>
        </w:tc>
        <w:tc>
          <w:tcPr>
            <w:tcW w:w="1635" w:type="dxa"/>
            <w:tcBorders>
              <w:top w:val="single" w:sz="4" w:space="0" w:color="auto"/>
              <w:left w:val="single" w:sz="4" w:space="0" w:color="auto"/>
              <w:bottom w:val="single" w:sz="4" w:space="0" w:color="auto"/>
              <w:right w:val="nil"/>
            </w:tcBorders>
            <w:noWrap/>
            <w:vAlign w:val="center"/>
            <w:hideMark/>
          </w:tcPr>
          <w:p w14:paraId="7669AF30"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4F72BE58" w14:textId="6663AF26"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7FFD242F"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2D6226B2"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Úprava a lokalizace ověřených, uživatelsky přátelských mezinárodních edukačních materiálů. </w:t>
            </w:r>
          </w:p>
        </w:tc>
      </w:tr>
      <w:tr w:rsidR="00FF01DA" w:rsidRPr="00F77AAA" w14:paraId="47ECF135"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47303989"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63 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73315299"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4.3.</w:t>
            </w:r>
          </w:p>
        </w:tc>
        <w:tc>
          <w:tcPr>
            <w:tcW w:w="1635" w:type="dxa"/>
            <w:tcBorders>
              <w:top w:val="single" w:sz="4" w:space="0" w:color="auto"/>
              <w:left w:val="single" w:sz="4" w:space="0" w:color="auto"/>
              <w:bottom w:val="single" w:sz="4" w:space="0" w:color="auto"/>
              <w:right w:val="nil"/>
            </w:tcBorders>
            <w:noWrap/>
            <w:vAlign w:val="center"/>
            <w:hideMark/>
          </w:tcPr>
          <w:p w14:paraId="463A9C36"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2 (2030-32)</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51879B5C" w14:textId="19432983"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A5FE6CC"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2C25F9CD"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Vytváření a distribuce informačních materiálů prostřednictvím zdravotnických zařízení a veřejně dostupných online kanálů. </w:t>
            </w:r>
          </w:p>
        </w:tc>
      </w:tr>
      <w:tr w:rsidR="00FF01DA" w:rsidRPr="00F77AAA" w14:paraId="500B0F74"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67EE5FE2" w14:textId="77777777" w:rsidR="00FF01DA" w:rsidRPr="00F77AAA" w:rsidRDefault="00FF01DA" w:rsidP="00FF01D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64 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65847458"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4.3.</w:t>
            </w:r>
          </w:p>
        </w:tc>
        <w:tc>
          <w:tcPr>
            <w:tcW w:w="1635" w:type="dxa"/>
            <w:tcBorders>
              <w:top w:val="single" w:sz="4" w:space="0" w:color="auto"/>
              <w:left w:val="single" w:sz="4" w:space="0" w:color="auto"/>
              <w:bottom w:val="single" w:sz="4" w:space="0" w:color="auto"/>
              <w:right w:val="nil"/>
            </w:tcBorders>
            <w:noWrap/>
            <w:vAlign w:val="center"/>
            <w:hideMark/>
          </w:tcPr>
          <w:p w14:paraId="25704929"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3 (2033-35)</w:t>
            </w:r>
          </w:p>
        </w:tc>
        <w:tc>
          <w:tcPr>
            <w:tcW w:w="990" w:type="dxa"/>
            <w:tcBorders>
              <w:top w:val="nil"/>
              <w:left w:val="single" w:sz="4" w:space="0" w:color="000000" w:themeColor="text1"/>
              <w:bottom w:val="single" w:sz="4" w:space="0" w:color="000000" w:themeColor="text1"/>
              <w:right w:val="single" w:sz="4" w:space="0" w:color="000000" w:themeColor="text1"/>
            </w:tcBorders>
            <w:noWrap/>
            <w:hideMark/>
          </w:tcPr>
          <w:p w14:paraId="5FB360AA" w14:textId="41B7B33D" w:rsidR="00FF01DA" w:rsidRPr="00F77AAA" w:rsidRDefault="00FF01DA" w:rsidP="00FF01DA">
            <w:pPr>
              <w:spacing w:after="0" w:line="240" w:lineRule="auto"/>
              <w:jc w:val="center"/>
              <w:rPr>
                <w:rFonts w:ascii="Calibri" w:eastAsia="Times New Roman" w:hAnsi="Calibri" w:cs="Calibri"/>
                <w:b/>
                <w:bCs/>
                <w:color w:val="00B050"/>
                <w:kern w:val="0"/>
                <w:lang w:eastAsia="cs-CZ"/>
                <w14:ligatures w14:val="none"/>
              </w:rPr>
            </w:pPr>
            <w:r w:rsidRPr="006B484E">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7F90517D" w14:textId="77777777" w:rsidR="00FF01DA" w:rsidRPr="00F77AAA" w:rsidRDefault="00FF01DA" w:rsidP="00FF01D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5E9332A7" w14:textId="77777777" w:rsidR="00FF01DA" w:rsidRPr="00F77AAA" w:rsidRDefault="00FF01DA" w:rsidP="00FF01D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Zapojení odborníků na srozumitelnou komunikaci pro komunikaci tématu VO s veřejností (např. zdravotní žurnalisty). </w:t>
            </w:r>
          </w:p>
        </w:tc>
      </w:tr>
      <w:tr w:rsidR="00FF01DA" w:rsidRPr="00F77AAA" w14:paraId="42FF4ED7"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535CA65D" w14:textId="77777777" w:rsidR="00FF01DA" w:rsidRPr="00F77AAA" w:rsidRDefault="00FF01DA" w:rsidP="00FF01D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65 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216CAD86"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4.3.</w:t>
            </w:r>
          </w:p>
        </w:tc>
        <w:tc>
          <w:tcPr>
            <w:tcW w:w="1635" w:type="dxa"/>
            <w:tcBorders>
              <w:top w:val="single" w:sz="4" w:space="0" w:color="auto"/>
              <w:left w:val="single" w:sz="4" w:space="0" w:color="auto"/>
              <w:bottom w:val="single" w:sz="4" w:space="0" w:color="auto"/>
              <w:right w:val="nil"/>
            </w:tcBorders>
            <w:noWrap/>
            <w:vAlign w:val="center"/>
            <w:hideMark/>
          </w:tcPr>
          <w:p w14:paraId="6149B72F" w14:textId="77777777" w:rsidR="00FF01DA" w:rsidRPr="00F77AAA" w:rsidRDefault="00FF01DA" w:rsidP="00FF01D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3 (2033-35)</w:t>
            </w:r>
          </w:p>
        </w:tc>
        <w:tc>
          <w:tcPr>
            <w:tcW w:w="990" w:type="dxa"/>
            <w:tcBorders>
              <w:top w:val="nil"/>
              <w:left w:val="single" w:sz="4" w:space="0" w:color="000000" w:themeColor="text1"/>
              <w:bottom w:val="single" w:sz="4" w:space="0" w:color="000000" w:themeColor="text1"/>
              <w:right w:val="single" w:sz="4" w:space="0" w:color="000000" w:themeColor="text1"/>
            </w:tcBorders>
            <w:noWrap/>
            <w:hideMark/>
          </w:tcPr>
          <w:p w14:paraId="6405672E" w14:textId="7D962659" w:rsidR="00FF01DA" w:rsidRPr="00F77AAA" w:rsidRDefault="00FF01DA" w:rsidP="00FF01DA">
            <w:pPr>
              <w:spacing w:after="0" w:line="240" w:lineRule="auto"/>
              <w:jc w:val="center"/>
              <w:rPr>
                <w:rFonts w:ascii="Calibri" w:eastAsia="Times New Roman" w:hAnsi="Calibri" w:cs="Calibri"/>
                <w:b/>
                <w:bCs/>
                <w:color w:val="00B050"/>
                <w:kern w:val="0"/>
                <w:lang w:eastAsia="cs-CZ"/>
                <w14:ligatures w14:val="none"/>
              </w:rPr>
            </w:pPr>
            <w:r w:rsidRPr="006B484E">
              <w:rPr>
                <w:rFonts w:ascii="Calibri" w:eastAsia="Times New Roman" w:hAnsi="Calibri" w:cs="Calibri"/>
                <w:b/>
                <w:bCs/>
                <w:color w:val="00B050"/>
                <w:kern w:val="0"/>
                <w:lang w:eastAsia="cs-CZ"/>
                <w14:ligatures w14:val="none"/>
              </w:rPr>
              <w:t>ANO</w:t>
            </w:r>
          </w:p>
        </w:tc>
        <w:tc>
          <w:tcPr>
            <w:tcW w:w="780" w:type="dxa"/>
            <w:tcBorders>
              <w:top w:val="single" w:sz="4" w:space="0" w:color="auto"/>
              <w:left w:val="nil"/>
              <w:bottom w:val="single" w:sz="4" w:space="0" w:color="auto"/>
              <w:right w:val="nil"/>
            </w:tcBorders>
            <w:noWrap/>
            <w:vAlign w:val="center"/>
            <w:hideMark/>
          </w:tcPr>
          <w:p w14:paraId="3E543923" w14:textId="77777777" w:rsidR="00FF01DA" w:rsidRPr="00F77AAA" w:rsidRDefault="00FF01DA" w:rsidP="00FF01D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4020BCFF" w14:textId="77777777" w:rsidR="00FF01DA" w:rsidRPr="00F77AAA" w:rsidRDefault="00FF01DA" w:rsidP="00FF01D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Zařazení VO do programu osvětových kampaní a tematických dnů zdraví. </w:t>
            </w:r>
          </w:p>
        </w:tc>
      </w:tr>
      <w:tr w:rsidR="00FF01DA" w:rsidRPr="00F77AAA" w14:paraId="2E4B2CAF"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57805D87"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66 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3DB65514"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5.1.</w:t>
            </w:r>
          </w:p>
        </w:tc>
        <w:tc>
          <w:tcPr>
            <w:tcW w:w="1635" w:type="dxa"/>
            <w:tcBorders>
              <w:top w:val="single" w:sz="4" w:space="0" w:color="auto"/>
              <w:left w:val="single" w:sz="4" w:space="0" w:color="auto"/>
              <w:bottom w:val="single" w:sz="4" w:space="0" w:color="auto"/>
              <w:right w:val="nil"/>
            </w:tcBorders>
            <w:noWrap/>
            <w:vAlign w:val="center"/>
            <w:hideMark/>
          </w:tcPr>
          <w:p w14:paraId="16EAC74B"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47EC58B8" w14:textId="35ADDD2E"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11467D4"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16E019D1"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Vytvoření, správa a podpora terminologické a kódovací základny včetně zajištění mezinárodní porovnatelnosti dat implementací mezinárodních kódovacích systémů jako OPRHAkódy, ICD-10, ICD-11, HPO a ICF. </w:t>
            </w:r>
          </w:p>
        </w:tc>
      </w:tr>
      <w:tr w:rsidR="00FF01DA" w:rsidRPr="00F77AAA" w14:paraId="48EA2DBE"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14FE138A"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lastRenderedPageBreak/>
              <w:t>67 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25E6A91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5.1.</w:t>
            </w:r>
          </w:p>
        </w:tc>
        <w:tc>
          <w:tcPr>
            <w:tcW w:w="1635" w:type="dxa"/>
            <w:tcBorders>
              <w:top w:val="single" w:sz="4" w:space="0" w:color="auto"/>
              <w:left w:val="single" w:sz="4" w:space="0" w:color="auto"/>
              <w:bottom w:val="single" w:sz="4" w:space="0" w:color="auto"/>
              <w:right w:val="nil"/>
            </w:tcBorders>
            <w:noWrap/>
            <w:vAlign w:val="center"/>
            <w:hideMark/>
          </w:tcPr>
          <w:p w14:paraId="1CF193D3"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7AC0CF87" w14:textId="6A0AF09F"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1E671FE"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10AFF22C" w14:textId="3C2C672E" w:rsidR="00FF01DA" w:rsidRPr="00F77AAA" w:rsidRDefault="0F260DBB"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 xml:space="preserve">Implementace ORPHAkódů do NIS, pravidelný update metodiky pro zadávání ORPHAkódů, standardizace používání ORPHAkódů </w:t>
            </w:r>
            <w:r w:rsidR="4EA3F3A1" w:rsidRPr="00F77AAA">
              <w:rPr>
                <w:rFonts w:ascii="Calibri" w:eastAsia="Times New Roman" w:hAnsi="Calibri" w:cs="Calibri"/>
                <w:color w:val="000000"/>
                <w:kern w:val="0"/>
                <w:sz w:val="18"/>
                <w:szCs w:val="18"/>
                <w:lang w:eastAsia="cs-CZ"/>
                <w14:ligatures w14:val="none"/>
              </w:rPr>
              <w:t xml:space="preserve">   </w:t>
            </w:r>
            <w:r w:rsidRPr="00F77AAA">
              <w:rPr>
                <w:rFonts w:ascii="Calibri" w:eastAsia="Times New Roman" w:hAnsi="Calibri" w:cs="Calibri"/>
                <w:color w:val="000000"/>
                <w:kern w:val="0"/>
                <w:sz w:val="18"/>
                <w:szCs w:val="18"/>
                <w:lang w:eastAsia="cs-CZ"/>
                <w14:ligatures w14:val="none"/>
              </w:rPr>
              <w:t>v národním zdravotnickém informačním systému. </w:t>
            </w:r>
          </w:p>
        </w:tc>
      </w:tr>
      <w:tr w:rsidR="00FF01DA" w:rsidRPr="00F77AAA" w14:paraId="184FFCB7"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5AE9AEDC"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68 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01123206"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5.1.</w:t>
            </w:r>
          </w:p>
        </w:tc>
        <w:tc>
          <w:tcPr>
            <w:tcW w:w="1635" w:type="dxa"/>
            <w:tcBorders>
              <w:top w:val="single" w:sz="4" w:space="0" w:color="auto"/>
              <w:left w:val="single" w:sz="4" w:space="0" w:color="auto"/>
              <w:bottom w:val="single" w:sz="4" w:space="0" w:color="auto"/>
              <w:right w:val="nil"/>
            </w:tcBorders>
            <w:noWrap/>
            <w:vAlign w:val="center"/>
            <w:hideMark/>
          </w:tcPr>
          <w:p w14:paraId="3215C70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08812FE3" w14:textId="40BDE578"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F16DC5C"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0B10A328"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Implementace české verze minimální datové sady VO do datového standardu elektronického zdravotnictví a do NIS poskytovatelů CVSP-VO. </w:t>
            </w:r>
          </w:p>
        </w:tc>
      </w:tr>
      <w:tr w:rsidR="00FF01DA" w:rsidRPr="00F77AAA" w14:paraId="6C081382"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4F9EC163"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69 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45D2BDF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5.1.</w:t>
            </w:r>
          </w:p>
        </w:tc>
        <w:tc>
          <w:tcPr>
            <w:tcW w:w="1635" w:type="dxa"/>
            <w:tcBorders>
              <w:top w:val="single" w:sz="4" w:space="0" w:color="auto"/>
              <w:left w:val="single" w:sz="4" w:space="0" w:color="auto"/>
              <w:bottom w:val="single" w:sz="4" w:space="0" w:color="auto"/>
              <w:right w:val="nil"/>
            </w:tcBorders>
            <w:noWrap/>
            <w:vAlign w:val="center"/>
            <w:hideMark/>
          </w:tcPr>
          <w:p w14:paraId="40CE9960"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50DEE040" w14:textId="5019010A"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114DD211"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71808F58"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Intervence musí zahrnovat také školení zdravotnického personálu v práci s daty včetně zajištění trvalé dostupnosti IT podpory týmům specializovaných center v používání příslušných technologií. </w:t>
            </w:r>
          </w:p>
        </w:tc>
      </w:tr>
      <w:tr w:rsidR="00FF01DA" w:rsidRPr="00F77AAA" w14:paraId="787E8159"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0CE15BD7"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70 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065684BD"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5.2.</w:t>
            </w:r>
          </w:p>
        </w:tc>
        <w:tc>
          <w:tcPr>
            <w:tcW w:w="1635" w:type="dxa"/>
            <w:tcBorders>
              <w:top w:val="single" w:sz="4" w:space="0" w:color="auto"/>
              <w:left w:val="single" w:sz="4" w:space="0" w:color="auto"/>
              <w:bottom w:val="single" w:sz="4" w:space="0" w:color="auto"/>
              <w:right w:val="nil"/>
            </w:tcBorders>
            <w:noWrap/>
            <w:vAlign w:val="center"/>
            <w:hideMark/>
          </w:tcPr>
          <w:p w14:paraId="402EEFCC"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63B2343B" w14:textId="6A49AB4E"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468AB471"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52393A4D"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Zprovoznění NRVO, včetně nastavení interoperability s nemocničními informačními systémy (NIS) a implementace české verze datové sady VO (specifický cíl 5.1). </w:t>
            </w:r>
          </w:p>
        </w:tc>
      </w:tr>
      <w:tr w:rsidR="00FF01DA" w:rsidRPr="00F77AAA" w14:paraId="362C991A"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28352A52"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71 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530847E3"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5.2.</w:t>
            </w:r>
          </w:p>
        </w:tc>
        <w:tc>
          <w:tcPr>
            <w:tcW w:w="1635" w:type="dxa"/>
            <w:tcBorders>
              <w:top w:val="single" w:sz="4" w:space="0" w:color="auto"/>
              <w:left w:val="single" w:sz="4" w:space="0" w:color="auto"/>
              <w:bottom w:val="single" w:sz="4" w:space="0" w:color="auto"/>
              <w:right w:val="nil"/>
            </w:tcBorders>
            <w:noWrap/>
            <w:vAlign w:val="center"/>
            <w:hideMark/>
          </w:tcPr>
          <w:p w14:paraId="7FBABC55"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39D80629" w14:textId="273DC4E6"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2F712159"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22190DA1" w14:textId="7CC38009" w:rsidR="00FF01DA" w:rsidRPr="00F77AAA" w:rsidRDefault="0F260DBB"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 xml:space="preserve">Stanovení pravidel pro sdílení dat mezi poskytovateli a registry, vytvořit standardizované struktury pro záznam informací </w:t>
            </w:r>
            <w:r w:rsidR="41A1DB9B" w:rsidRPr="00F77AAA">
              <w:rPr>
                <w:rFonts w:ascii="Calibri" w:eastAsia="Times New Roman" w:hAnsi="Calibri" w:cs="Calibri"/>
                <w:color w:val="000000"/>
                <w:kern w:val="0"/>
                <w:sz w:val="18"/>
                <w:szCs w:val="18"/>
                <w:lang w:eastAsia="cs-CZ"/>
                <w14:ligatures w14:val="none"/>
              </w:rPr>
              <w:t xml:space="preserve">                </w:t>
            </w:r>
            <w:r w:rsidRPr="00F77AAA">
              <w:rPr>
                <w:rFonts w:ascii="Calibri" w:eastAsia="Times New Roman" w:hAnsi="Calibri" w:cs="Calibri"/>
                <w:color w:val="000000"/>
                <w:kern w:val="0"/>
                <w:sz w:val="18"/>
                <w:szCs w:val="18"/>
                <w:lang w:eastAsia="cs-CZ"/>
                <w14:ligatures w14:val="none"/>
              </w:rPr>
              <w:t>o pacientech s VO. </w:t>
            </w:r>
          </w:p>
        </w:tc>
      </w:tr>
      <w:tr w:rsidR="00FF01DA" w:rsidRPr="00F77AAA" w14:paraId="6CA83F03"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67FA5C73"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72 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0D0CB547"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5.2.</w:t>
            </w:r>
          </w:p>
        </w:tc>
        <w:tc>
          <w:tcPr>
            <w:tcW w:w="1635" w:type="dxa"/>
            <w:tcBorders>
              <w:top w:val="single" w:sz="4" w:space="0" w:color="auto"/>
              <w:left w:val="single" w:sz="4" w:space="0" w:color="auto"/>
              <w:bottom w:val="single" w:sz="4" w:space="0" w:color="auto"/>
              <w:right w:val="nil"/>
            </w:tcBorders>
            <w:noWrap/>
            <w:vAlign w:val="center"/>
            <w:hideMark/>
          </w:tcPr>
          <w:p w14:paraId="3B930F21"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13B83085" w14:textId="07B7852C"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1C2A1564"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15836437"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Zavedení metodické a technické podpory včetně dokumentace, rozhraní a výstupních reportů. </w:t>
            </w:r>
          </w:p>
        </w:tc>
      </w:tr>
      <w:tr w:rsidR="00FF01DA" w:rsidRPr="00F77AAA" w14:paraId="6D32A721"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0D86364D"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73 </w:t>
            </w:r>
          </w:p>
        </w:tc>
        <w:tc>
          <w:tcPr>
            <w:tcW w:w="1185" w:type="dxa"/>
            <w:tcBorders>
              <w:top w:val="single" w:sz="4" w:space="0" w:color="auto"/>
              <w:left w:val="single" w:sz="4" w:space="0" w:color="auto"/>
              <w:bottom w:val="single" w:sz="4" w:space="0" w:color="auto"/>
              <w:right w:val="single" w:sz="4" w:space="0" w:color="auto"/>
            </w:tcBorders>
            <w:noWrap/>
            <w:vAlign w:val="center"/>
            <w:hideMark/>
          </w:tcPr>
          <w:p w14:paraId="0B860D73"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5.2.</w:t>
            </w:r>
          </w:p>
        </w:tc>
        <w:tc>
          <w:tcPr>
            <w:tcW w:w="1635" w:type="dxa"/>
            <w:tcBorders>
              <w:top w:val="single" w:sz="4" w:space="0" w:color="auto"/>
              <w:left w:val="single" w:sz="4" w:space="0" w:color="auto"/>
              <w:bottom w:val="nil"/>
              <w:right w:val="nil"/>
            </w:tcBorders>
            <w:noWrap/>
            <w:vAlign w:val="center"/>
            <w:hideMark/>
          </w:tcPr>
          <w:p w14:paraId="30BEBCA3"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1 (2027-29)</w:t>
            </w:r>
          </w:p>
        </w:tc>
        <w:tc>
          <w:tcPr>
            <w:tcW w:w="990"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tcPr>
          <w:p w14:paraId="2057741C" w14:textId="267CA5C1"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560E272B" w14:textId="77777777" w:rsidR="00FF01DA" w:rsidRPr="00F77AAA" w:rsidRDefault="00FF01DA" w:rsidP="00F77AAA">
            <w:pPr>
              <w:spacing w:after="0" w:line="240" w:lineRule="auto"/>
              <w:jc w:val="center"/>
              <w:rPr>
                <w:rFonts w:ascii="Calibri" w:eastAsia="Times New Roman" w:hAnsi="Calibri" w:cs="Calibri"/>
                <w:b/>
                <w:bCs/>
                <w:color w:val="FF0000"/>
                <w:kern w:val="0"/>
                <w:lang w:eastAsia="cs-CZ"/>
                <w14:ligatures w14:val="none"/>
              </w:rPr>
            </w:pPr>
            <w:r w:rsidRPr="00F77AAA">
              <w:rPr>
                <w:rFonts w:ascii="Calibri" w:eastAsia="Times New Roman" w:hAnsi="Calibri" w:cs="Calibri"/>
                <w:b/>
                <w:bCs/>
                <w:color w:val="FF0000"/>
                <w:kern w:val="0"/>
                <w:lang w:eastAsia="cs-CZ"/>
                <w14:ligatures w14:val="none"/>
              </w:rPr>
              <w:t>A</w:t>
            </w:r>
          </w:p>
        </w:tc>
        <w:tc>
          <w:tcPr>
            <w:tcW w:w="9099" w:type="dxa"/>
            <w:tcBorders>
              <w:top w:val="single" w:sz="4" w:space="0" w:color="auto"/>
              <w:left w:val="single" w:sz="4" w:space="0" w:color="auto"/>
              <w:bottom w:val="single" w:sz="4" w:space="0" w:color="auto"/>
              <w:right w:val="single" w:sz="4" w:space="0" w:color="auto"/>
            </w:tcBorders>
            <w:hideMark/>
          </w:tcPr>
          <w:p w14:paraId="78018405"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Vytvoření rámce pro posouzení problematiky ochrany osobních údajů a sdílení dat, harmonizace procesu etického posouzení použití pseudonymizovaných dat pro sekundární účely a procesu informovaného souhlasu pacientů s opakovaným použitím dat. </w:t>
            </w:r>
          </w:p>
        </w:tc>
      </w:tr>
      <w:tr w:rsidR="00FF01DA" w:rsidRPr="00F77AAA" w14:paraId="7B493B6B" w14:textId="77777777" w:rsidTr="034C28CC">
        <w:trPr>
          <w:trHeight w:val="300"/>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4B428BCF"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74 </w:t>
            </w:r>
          </w:p>
        </w:tc>
        <w:tc>
          <w:tcPr>
            <w:tcW w:w="1185" w:type="dxa"/>
            <w:tcBorders>
              <w:top w:val="single" w:sz="4" w:space="0" w:color="auto"/>
              <w:left w:val="single" w:sz="4" w:space="0" w:color="auto"/>
              <w:bottom w:val="single" w:sz="4" w:space="0" w:color="auto"/>
              <w:right w:val="nil"/>
            </w:tcBorders>
            <w:noWrap/>
            <w:vAlign w:val="center"/>
            <w:hideMark/>
          </w:tcPr>
          <w:p w14:paraId="67F10E95"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5.3.</w:t>
            </w:r>
          </w:p>
        </w:tc>
        <w:tc>
          <w:tcPr>
            <w:tcW w:w="1635"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25C95068"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3 (2033-35)</w:t>
            </w:r>
          </w:p>
        </w:tc>
        <w:tc>
          <w:tcPr>
            <w:tcW w:w="990" w:type="dxa"/>
            <w:tcBorders>
              <w:top w:val="single" w:sz="4" w:space="0" w:color="000000" w:themeColor="text1"/>
              <w:left w:val="nil"/>
              <w:bottom w:val="single" w:sz="4" w:space="0" w:color="000000" w:themeColor="text1"/>
              <w:right w:val="single" w:sz="4" w:space="0" w:color="000000" w:themeColor="text1"/>
            </w:tcBorders>
            <w:noWrap/>
            <w:vAlign w:val="center"/>
          </w:tcPr>
          <w:p w14:paraId="371E7D4C" w14:textId="16EF9C81"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27B9AC72"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1919511B"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Nastavení procesu analýzy dat o VO ze zdravotnických registrů. </w:t>
            </w:r>
          </w:p>
        </w:tc>
      </w:tr>
      <w:tr w:rsidR="00FF01DA" w:rsidRPr="00F77AAA" w14:paraId="1BB1238A" w14:textId="77777777" w:rsidTr="034C28CC">
        <w:trPr>
          <w:trHeight w:val="495"/>
        </w:trPr>
        <w:tc>
          <w:tcPr>
            <w:tcW w:w="1185" w:type="dxa"/>
            <w:tcBorders>
              <w:top w:val="single" w:sz="4" w:space="0" w:color="auto"/>
              <w:left w:val="single" w:sz="8" w:space="0" w:color="auto"/>
              <w:bottom w:val="single" w:sz="4" w:space="0" w:color="auto"/>
              <w:right w:val="single" w:sz="4" w:space="0" w:color="auto"/>
            </w:tcBorders>
            <w:noWrap/>
            <w:vAlign w:val="center"/>
            <w:hideMark/>
          </w:tcPr>
          <w:p w14:paraId="43796411"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75 </w:t>
            </w:r>
          </w:p>
        </w:tc>
        <w:tc>
          <w:tcPr>
            <w:tcW w:w="1185" w:type="dxa"/>
            <w:tcBorders>
              <w:top w:val="single" w:sz="4" w:space="0" w:color="auto"/>
              <w:left w:val="single" w:sz="4" w:space="0" w:color="auto"/>
              <w:bottom w:val="single" w:sz="4" w:space="0" w:color="auto"/>
              <w:right w:val="nil"/>
            </w:tcBorders>
            <w:noWrap/>
            <w:vAlign w:val="center"/>
            <w:hideMark/>
          </w:tcPr>
          <w:p w14:paraId="6F9669FB"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5.3.</w:t>
            </w:r>
          </w:p>
        </w:tc>
        <w:tc>
          <w:tcPr>
            <w:tcW w:w="1635" w:type="dxa"/>
            <w:tcBorders>
              <w:top w:val="single" w:sz="4" w:space="0" w:color="000000" w:themeColor="text1"/>
              <w:left w:val="single" w:sz="4" w:space="0" w:color="000000" w:themeColor="text1"/>
              <w:bottom w:val="single" w:sz="4" w:space="0" w:color="000000" w:themeColor="text1"/>
              <w:right w:val="single" w:sz="4" w:space="0" w:color="000000" w:themeColor="text1"/>
            </w:tcBorders>
            <w:noWrap/>
            <w:vAlign w:val="center"/>
            <w:hideMark/>
          </w:tcPr>
          <w:p w14:paraId="786CC5D4"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3 (2033-35)</w:t>
            </w:r>
          </w:p>
        </w:tc>
        <w:tc>
          <w:tcPr>
            <w:tcW w:w="990" w:type="dxa"/>
            <w:tcBorders>
              <w:top w:val="single" w:sz="4" w:space="0" w:color="000000" w:themeColor="text1"/>
              <w:left w:val="nil"/>
              <w:bottom w:val="single" w:sz="4" w:space="0" w:color="000000" w:themeColor="text1"/>
              <w:right w:val="single" w:sz="4" w:space="0" w:color="000000" w:themeColor="text1"/>
            </w:tcBorders>
            <w:noWrap/>
            <w:vAlign w:val="center"/>
          </w:tcPr>
          <w:p w14:paraId="7FEE5BC2" w14:textId="0153CDF8"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4" w:space="0" w:color="auto"/>
              <w:right w:val="nil"/>
            </w:tcBorders>
            <w:noWrap/>
            <w:vAlign w:val="center"/>
            <w:hideMark/>
          </w:tcPr>
          <w:p w14:paraId="76432A84"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4" w:space="0" w:color="auto"/>
              <w:right w:val="single" w:sz="4" w:space="0" w:color="auto"/>
            </w:tcBorders>
            <w:hideMark/>
          </w:tcPr>
          <w:p w14:paraId="09C312B3"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Definování specifických souborů analyzovaných dat pro jednotlivé use-case, definování frekvence datové analýzy, příjemců analytických výstupů a pravidel pro jejich zveřejňování. </w:t>
            </w:r>
          </w:p>
        </w:tc>
      </w:tr>
      <w:tr w:rsidR="00FF01DA" w:rsidRPr="00F77AAA" w14:paraId="7D04AAFF" w14:textId="77777777" w:rsidTr="034C28CC">
        <w:trPr>
          <w:trHeight w:val="300"/>
        </w:trPr>
        <w:tc>
          <w:tcPr>
            <w:tcW w:w="1185" w:type="dxa"/>
            <w:tcBorders>
              <w:top w:val="single" w:sz="4" w:space="0" w:color="auto"/>
              <w:left w:val="single" w:sz="8" w:space="0" w:color="auto"/>
              <w:bottom w:val="single" w:sz="8" w:space="0" w:color="000000" w:themeColor="text1"/>
              <w:right w:val="single" w:sz="4" w:space="0" w:color="auto"/>
            </w:tcBorders>
            <w:noWrap/>
            <w:vAlign w:val="center"/>
            <w:hideMark/>
          </w:tcPr>
          <w:p w14:paraId="75AD15AF" w14:textId="77777777" w:rsidR="00FF01DA" w:rsidRPr="00F77AAA" w:rsidRDefault="00FF01DA" w:rsidP="00F77AAA">
            <w:pPr>
              <w:spacing w:after="0" w:line="240" w:lineRule="auto"/>
              <w:jc w:val="center"/>
              <w:rPr>
                <w:rFonts w:ascii="Calibri" w:eastAsia="Times New Roman" w:hAnsi="Calibri" w:cs="Calibri"/>
                <w:b/>
                <w:bCs/>
                <w:color w:val="000000"/>
                <w:kern w:val="0"/>
                <w:lang w:eastAsia="cs-CZ"/>
                <w14:ligatures w14:val="none"/>
              </w:rPr>
            </w:pPr>
            <w:r w:rsidRPr="00F77AAA">
              <w:rPr>
                <w:rFonts w:ascii="Calibri" w:eastAsia="Times New Roman" w:hAnsi="Calibri" w:cs="Calibri"/>
                <w:b/>
                <w:bCs/>
                <w:color w:val="000000"/>
                <w:kern w:val="0"/>
                <w:lang w:eastAsia="cs-CZ"/>
                <w14:ligatures w14:val="none"/>
              </w:rPr>
              <w:t>76 </w:t>
            </w:r>
          </w:p>
        </w:tc>
        <w:tc>
          <w:tcPr>
            <w:tcW w:w="1185" w:type="dxa"/>
            <w:tcBorders>
              <w:top w:val="single" w:sz="4" w:space="0" w:color="auto"/>
              <w:left w:val="single" w:sz="4" w:space="0" w:color="auto"/>
              <w:bottom w:val="single" w:sz="8" w:space="0" w:color="000000" w:themeColor="text1"/>
              <w:right w:val="nil"/>
            </w:tcBorders>
            <w:noWrap/>
            <w:vAlign w:val="center"/>
            <w:hideMark/>
          </w:tcPr>
          <w:p w14:paraId="2191E9B3"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5.3.</w:t>
            </w:r>
          </w:p>
        </w:tc>
        <w:tc>
          <w:tcPr>
            <w:tcW w:w="1635" w:type="dxa"/>
            <w:tcBorders>
              <w:top w:val="single" w:sz="4" w:space="0" w:color="000000" w:themeColor="text1"/>
              <w:left w:val="single" w:sz="4" w:space="0" w:color="000000" w:themeColor="text1"/>
              <w:bottom w:val="single" w:sz="8" w:space="0" w:color="000000" w:themeColor="text1"/>
              <w:right w:val="single" w:sz="4" w:space="0" w:color="000000" w:themeColor="text1"/>
            </w:tcBorders>
            <w:noWrap/>
            <w:vAlign w:val="center"/>
            <w:hideMark/>
          </w:tcPr>
          <w:p w14:paraId="75BF3E9B" w14:textId="77777777" w:rsidR="00FF01DA" w:rsidRPr="00F77AAA" w:rsidRDefault="00FF01DA" w:rsidP="00F77AAA">
            <w:pPr>
              <w:spacing w:after="0" w:line="240" w:lineRule="auto"/>
              <w:jc w:val="center"/>
              <w:rPr>
                <w:rFonts w:ascii="Calibri" w:eastAsia="Times New Roman" w:hAnsi="Calibri" w:cs="Calibri"/>
                <w:color w:val="000000"/>
                <w:kern w:val="0"/>
                <w:lang w:eastAsia="cs-CZ"/>
                <w14:ligatures w14:val="none"/>
              </w:rPr>
            </w:pPr>
            <w:r w:rsidRPr="00F77AAA">
              <w:rPr>
                <w:rFonts w:ascii="Calibri" w:eastAsia="Times New Roman" w:hAnsi="Calibri" w:cs="Calibri"/>
                <w:color w:val="000000"/>
                <w:kern w:val="0"/>
                <w:lang w:eastAsia="cs-CZ"/>
                <w14:ligatures w14:val="none"/>
              </w:rPr>
              <w:t>fáze 3 (2033-35)</w:t>
            </w:r>
          </w:p>
        </w:tc>
        <w:tc>
          <w:tcPr>
            <w:tcW w:w="990" w:type="dxa"/>
            <w:tcBorders>
              <w:top w:val="single" w:sz="4" w:space="0" w:color="000000" w:themeColor="text1"/>
              <w:left w:val="nil"/>
              <w:bottom w:val="single" w:sz="8" w:space="0" w:color="000000" w:themeColor="text1"/>
              <w:right w:val="single" w:sz="4" w:space="0" w:color="000000" w:themeColor="text1"/>
            </w:tcBorders>
            <w:noWrap/>
            <w:vAlign w:val="center"/>
          </w:tcPr>
          <w:p w14:paraId="44D1C48F" w14:textId="0711530D" w:rsidR="00FF01DA" w:rsidRPr="00F77AAA" w:rsidRDefault="00FF01DA" w:rsidP="00F77AAA">
            <w:pPr>
              <w:spacing w:after="0" w:line="240" w:lineRule="auto"/>
              <w:jc w:val="center"/>
              <w:rPr>
                <w:rFonts w:ascii="Calibri" w:eastAsia="Times New Roman" w:hAnsi="Calibri" w:cs="Calibri"/>
                <w:b/>
                <w:bCs/>
                <w:color w:val="00B050"/>
                <w:kern w:val="0"/>
                <w:lang w:eastAsia="cs-CZ"/>
                <w14:ligatures w14:val="none"/>
              </w:rPr>
            </w:pPr>
          </w:p>
        </w:tc>
        <w:tc>
          <w:tcPr>
            <w:tcW w:w="780" w:type="dxa"/>
            <w:tcBorders>
              <w:top w:val="single" w:sz="4" w:space="0" w:color="auto"/>
              <w:left w:val="nil"/>
              <w:bottom w:val="single" w:sz="8" w:space="0" w:color="000000" w:themeColor="text1"/>
              <w:right w:val="nil"/>
            </w:tcBorders>
            <w:noWrap/>
            <w:vAlign w:val="center"/>
            <w:hideMark/>
          </w:tcPr>
          <w:p w14:paraId="3E6E6C5A" w14:textId="77777777" w:rsidR="00FF01DA" w:rsidRPr="00F77AAA" w:rsidRDefault="00FF01DA" w:rsidP="00F77AAA">
            <w:pPr>
              <w:spacing w:after="0" w:line="240" w:lineRule="auto"/>
              <w:jc w:val="center"/>
              <w:rPr>
                <w:rFonts w:ascii="Calibri" w:eastAsia="Times New Roman" w:hAnsi="Calibri" w:cs="Calibri"/>
                <w:b/>
                <w:bCs/>
                <w:color w:val="0857BF"/>
                <w:kern w:val="0"/>
                <w:lang w:eastAsia="cs-CZ"/>
                <w14:ligatures w14:val="none"/>
              </w:rPr>
            </w:pPr>
            <w:r w:rsidRPr="00F77AAA">
              <w:rPr>
                <w:rFonts w:ascii="Calibri" w:eastAsia="Times New Roman" w:hAnsi="Calibri" w:cs="Calibri"/>
                <w:b/>
                <w:bCs/>
                <w:color w:val="0857BF"/>
                <w:kern w:val="0"/>
                <w:lang w:eastAsia="cs-CZ"/>
                <w14:ligatures w14:val="none"/>
              </w:rPr>
              <w:t>C</w:t>
            </w:r>
          </w:p>
        </w:tc>
        <w:tc>
          <w:tcPr>
            <w:tcW w:w="9099" w:type="dxa"/>
            <w:tcBorders>
              <w:top w:val="single" w:sz="4" w:space="0" w:color="auto"/>
              <w:left w:val="single" w:sz="4" w:space="0" w:color="auto"/>
              <w:bottom w:val="single" w:sz="8" w:space="0" w:color="auto"/>
              <w:right w:val="single" w:sz="4" w:space="0" w:color="auto"/>
            </w:tcBorders>
            <w:hideMark/>
          </w:tcPr>
          <w:p w14:paraId="2D3FA0B2" w14:textId="77777777" w:rsidR="00FF01DA" w:rsidRPr="00F77AAA" w:rsidRDefault="00FF01DA" w:rsidP="00F77AAA">
            <w:pPr>
              <w:spacing w:after="0" w:line="240" w:lineRule="auto"/>
              <w:rPr>
                <w:rFonts w:ascii="Calibri" w:eastAsia="Times New Roman" w:hAnsi="Calibri" w:cs="Calibri"/>
                <w:color w:val="000000"/>
                <w:kern w:val="0"/>
                <w:sz w:val="18"/>
                <w:szCs w:val="18"/>
                <w:lang w:eastAsia="cs-CZ"/>
                <w14:ligatures w14:val="none"/>
              </w:rPr>
            </w:pPr>
            <w:r w:rsidRPr="00F77AAA">
              <w:rPr>
                <w:rFonts w:ascii="Calibri" w:eastAsia="Times New Roman" w:hAnsi="Calibri" w:cs="Calibri"/>
                <w:color w:val="000000"/>
                <w:kern w:val="0"/>
                <w:sz w:val="18"/>
                <w:szCs w:val="18"/>
                <w:lang w:eastAsia="cs-CZ"/>
                <w14:ligatures w14:val="none"/>
              </w:rPr>
              <w:t>Nastavení jednotných pravidel pro sdílení dat pro výzkumné účely a implementace těchto principů na úrovní poskytovatelů. </w:t>
            </w:r>
          </w:p>
        </w:tc>
      </w:tr>
    </w:tbl>
    <w:p w14:paraId="132C16DE" w14:textId="77777777" w:rsidR="00F77AAA" w:rsidRPr="000D5CBF" w:rsidRDefault="00F77AAA" w:rsidP="0088631D">
      <w:pPr>
        <w:rPr>
          <w:rFonts w:eastAsia="Times New Roman" w:cs="Arial"/>
          <w:b/>
          <w:bCs/>
          <w:kern w:val="0"/>
          <w:sz w:val="28"/>
          <w:szCs w:val="28"/>
          <w:lang w:eastAsia="cs-CZ"/>
          <w14:ligatures w14:val="none"/>
        </w:rPr>
      </w:pPr>
    </w:p>
    <w:p w14:paraId="1C8BAAD9" w14:textId="77777777" w:rsidR="00B17E1F" w:rsidRDefault="00B17E1F" w:rsidP="00D8608F">
      <w:pPr>
        <w:rPr>
          <w:b/>
          <w:bCs/>
          <w:sz w:val="24"/>
          <w:szCs w:val="24"/>
        </w:rPr>
        <w:sectPr w:rsidR="00B17E1F" w:rsidSect="00B17E1F">
          <w:pgSz w:w="16838" w:h="11906" w:orient="landscape"/>
          <w:pgMar w:top="1417" w:right="1417" w:bottom="1417" w:left="1417" w:header="708" w:footer="708" w:gutter="0"/>
          <w:pgNumType w:start="0"/>
          <w:cols w:space="708"/>
          <w:titlePg/>
          <w:docGrid w:linePitch="360"/>
        </w:sectPr>
      </w:pPr>
    </w:p>
    <w:p w14:paraId="3D3C305A" w14:textId="66444ACB" w:rsidR="00D8608F" w:rsidRPr="00D8608F" w:rsidRDefault="00D8608F" w:rsidP="00B17E1F">
      <w:pPr>
        <w:pStyle w:val="Nadpis1"/>
      </w:pPr>
      <w:r w:rsidRPr="00D8608F">
        <w:lastRenderedPageBreak/>
        <w:t>Monitoring a evaluace</w:t>
      </w:r>
    </w:p>
    <w:p w14:paraId="57276AA6" w14:textId="2409B7CB" w:rsidR="004D25BB" w:rsidRPr="004D25BB" w:rsidRDefault="004D25BB" w:rsidP="676DAA56">
      <w:pPr>
        <w:pStyle w:val="Normlnweb"/>
        <w:jc w:val="both"/>
        <w:rPr>
          <w:rFonts w:ascii="Aptos" w:eastAsiaTheme="minorEastAsia" w:hAnsi="Aptos" w:cstheme="minorBidi"/>
          <w:color w:val="002060"/>
          <w:kern w:val="2"/>
          <w:sz w:val="22"/>
          <w:szCs w:val="22"/>
          <w:lang w:eastAsia="en-US"/>
          <w14:ligatures w14:val="standardContextual"/>
        </w:rPr>
      </w:pPr>
      <w:r w:rsidRPr="676DAA56">
        <w:rPr>
          <w:rFonts w:ascii="Aptos" w:eastAsiaTheme="minorEastAsia" w:hAnsi="Aptos" w:cstheme="minorBidi"/>
          <w:color w:val="002060"/>
          <w:kern w:val="2"/>
          <w:sz w:val="22"/>
          <w:szCs w:val="22"/>
          <w:lang w:eastAsia="en-US"/>
          <w14:ligatures w14:val="standardContextual"/>
        </w:rPr>
        <w:t>Plnění opatření jednotlivých implementačních plánů je sledováno prostřednictvím souboru indikátorů definovaných v tabulkách cílů</w:t>
      </w:r>
      <w:r w:rsidR="004E0B6B" w:rsidRPr="676DAA56">
        <w:rPr>
          <w:rFonts w:ascii="Aptos" w:eastAsiaTheme="minorEastAsia" w:hAnsi="Aptos" w:cstheme="minorBidi"/>
          <w:color w:val="002060"/>
          <w:kern w:val="2"/>
          <w:sz w:val="22"/>
          <w:szCs w:val="22"/>
          <w:lang w:eastAsia="en-US"/>
          <w14:ligatures w14:val="standardContextual"/>
        </w:rPr>
        <w:t xml:space="preserve"> a</w:t>
      </w:r>
      <w:r w:rsidRPr="676DAA56">
        <w:rPr>
          <w:rFonts w:ascii="Aptos" w:eastAsiaTheme="minorEastAsia" w:hAnsi="Aptos" w:cstheme="minorBidi"/>
          <w:color w:val="002060"/>
          <w:kern w:val="2"/>
          <w:sz w:val="22"/>
          <w:szCs w:val="22"/>
          <w:lang w:eastAsia="en-US"/>
          <w14:ligatures w14:val="standardContextual"/>
        </w:rPr>
        <w:t xml:space="preserve"> opatření. Monitoring probíhá průběžně po celou dobu realizace strategie a je zaměřen zejména na sledování postupu implementace jednotlivých opatření a vyhodnocování funkčnosti zaváděných systémových nástrojů.</w:t>
      </w:r>
    </w:p>
    <w:p w14:paraId="1E3355EC" w14:textId="2785D991" w:rsidR="004D25BB" w:rsidRPr="004D25BB" w:rsidRDefault="47DA35C4" w:rsidP="5BF5182F">
      <w:pPr>
        <w:pStyle w:val="Normlnweb"/>
        <w:jc w:val="both"/>
        <w:rPr>
          <w:rFonts w:ascii="Aptos" w:eastAsiaTheme="minorEastAsia" w:hAnsi="Aptos" w:cstheme="minorBidi"/>
          <w:color w:val="002060"/>
          <w:kern w:val="2"/>
          <w:sz w:val="22"/>
          <w:szCs w:val="22"/>
          <w:lang w:eastAsia="en-US"/>
          <w14:ligatures w14:val="standardContextual"/>
        </w:rPr>
      </w:pPr>
      <w:r w:rsidRPr="5BF5182F">
        <w:rPr>
          <w:rFonts w:ascii="Aptos" w:eastAsiaTheme="minorEastAsia" w:hAnsi="Aptos" w:cstheme="minorBidi"/>
          <w:color w:val="002060"/>
          <w:kern w:val="2"/>
          <w:sz w:val="22"/>
          <w:szCs w:val="22"/>
          <w:lang w:eastAsia="en-US"/>
          <w14:ligatures w14:val="standardContextual"/>
        </w:rPr>
        <w:t>Ř</w:t>
      </w:r>
      <w:r w:rsidR="15467B4A" w:rsidRPr="5BF5182F">
        <w:rPr>
          <w:rFonts w:ascii="Aptos" w:eastAsiaTheme="minorEastAsia" w:hAnsi="Aptos" w:cstheme="minorBidi"/>
          <w:color w:val="002060"/>
          <w:kern w:val="2"/>
          <w:sz w:val="22"/>
          <w:szCs w:val="22"/>
          <w:lang w:eastAsia="en-US"/>
          <w14:ligatures w14:val="standardContextual"/>
        </w:rPr>
        <w:t>ízení monitoringu zajišťuje Ministerstvo zdravotnictví České republiky ve spolupráci</w:t>
      </w:r>
      <w:r w:rsidR="75F9C43A" w:rsidRPr="5BF5182F">
        <w:rPr>
          <w:rFonts w:ascii="Aptos" w:eastAsiaTheme="minorEastAsia" w:hAnsi="Aptos" w:cstheme="minorBidi"/>
          <w:color w:val="002060"/>
          <w:kern w:val="2"/>
          <w:sz w:val="22"/>
          <w:szCs w:val="22"/>
          <w:lang w:eastAsia="en-US"/>
          <w14:ligatures w14:val="standardContextual"/>
        </w:rPr>
        <w:t xml:space="preserve">                      </w:t>
      </w:r>
      <w:r w:rsidR="00644157">
        <w:rPr>
          <w:rFonts w:ascii="Aptos" w:eastAsiaTheme="minorEastAsia" w:hAnsi="Aptos" w:cstheme="minorBidi"/>
          <w:color w:val="002060"/>
          <w:kern w:val="2"/>
          <w:sz w:val="22"/>
          <w:szCs w:val="22"/>
          <w:lang w:eastAsia="en-US"/>
          <w14:ligatures w14:val="standardContextual"/>
        </w:rPr>
        <w:t xml:space="preserve">            </w:t>
      </w:r>
      <w:r w:rsidR="75F9C43A" w:rsidRPr="5BF5182F">
        <w:rPr>
          <w:rFonts w:ascii="Aptos" w:eastAsiaTheme="minorEastAsia" w:hAnsi="Aptos" w:cstheme="minorBidi"/>
          <w:color w:val="002060"/>
          <w:kern w:val="2"/>
          <w:sz w:val="22"/>
          <w:szCs w:val="22"/>
          <w:lang w:eastAsia="en-US"/>
          <w14:ligatures w14:val="standardContextual"/>
        </w:rPr>
        <w:t xml:space="preserve">  </w:t>
      </w:r>
      <w:r w:rsidR="15467B4A" w:rsidRPr="5BF5182F">
        <w:rPr>
          <w:rFonts w:ascii="Aptos" w:eastAsiaTheme="minorEastAsia" w:hAnsi="Aptos" w:cstheme="minorBidi"/>
          <w:color w:val="002060"/>
          <w:kern w:val="2"/>
          <w:sz w:val="22"/>
          <w:szCs w:val="22"/>
          <w:lang w:eastAsia="en-US"/>
          <w14:ligatures w14:val="standardContextual"/>
        </w:rPr>
        <w:t>s odbornými a poradními strukturami NSVO, zejména MEKOVO, která se podílí na odborném posuzování dosaženého pokrok</w:t>
      </w:r>
      <w:r w:rsidR="54D91635" w:rsidRPr="5BF5182F">
        <w:rPr>
          <w:rFonts w:ascii="Aptos" w:eastAsiaTheme="minorEastAsia" w:hAnsi="Aptos" w:cstheme="minorBidi"/>
          <w:color w:val="002060"/>
          <w:kern w:val="2"/>
          <w:sz w:val="22"/>
          <w:szCs w:val="22"/>
          <w:lang w:eastAsia="en-US"/>
          <w14:ligatures w14:val="standardContextual"/>
        </w:rPr>
        <w:t xml:space="preserve">u </w:t>
      </w:r>
      <w:r w:rsidR="15467B4A" w:rsidRPr="5BF5182F">
        <w:rPr>
          <w:rFonts w:ascii="Aptos" w:eastAsiaTheme="minorEastAsia" w:hAnsi="Aptos" w:cstheme="minorBidi"/>
          <w:color w:val="002060"/>
          <w:kern w:val="2"/>
          <w:sz w:val="22"/>
          <w:szCs w:val="22"/>
          <w:lang w:eastAsia="en-US"/>
          <w14:ligatures w14:val="standardContextual"/>
        </w:rPr>
        <w:t>a interpretaci výsledků v kontextu naplňování všech strategických cílů NSVO.</w:t>
      </w:r>
    </w:p>
    <w:p w14:paraId="3273FCA0" w14:textId="0498989C" w:rsidR="004D25BB" w:rsidRPr="004D25BB" w:rsidRDefault="15467B4A" w:rsidP="5BF5182F">
      <w:pPr>
        <w:pStyle w:val="Normlnweb"/>
        <w:jc w:val="both"/>
        <w:rPr>
          <w:rFonts w:ascii="Aptos" w:eastAsiaTheme="minorEastAsia" w:hAnsi="Aptos" w:cstheme="minorBidi"/>
          <w:color w:val="002060"/>
          <w:kern w:val="2"/>
          <w:sz w:val="22"/>
          <w:szCs w:val="22"/>
          <w:lang w:eastAsia="en-US"/>
          <w14:ligatures w14:val="standardContextual"/>
        </w:rPr>
      </w:pPr>
      <w:r w:rsidRPr="5BF5182F">
        <w:rPr>
          <w:rFonts w:ascii="Aptos" w:eastAsiaTheme="minorEastAsia" w:hAnsi="Aptos" w:cstheme="minorBidi"/>
          <w:color w:val="002060"/>
          <w:kern w:val="2"/>
          <w:sz w:val="22"/>
          <w:szCs w:val="22"/>
          <w:lang w:eastAsia="en-US"/>
          <w14:ligatures w14:val="standardContextual"/>
        </w:rPr>
        <w:t xml:space="preserve">Evaluace je prováděna zejména na konci každé tříleté implementační </w:t>
      </w:r>
      <w:r w:rsidR="266C17B5" w:rsidRPr="5BF5182F">
        <w:rPr>
          <w:rFonts w:ascii="Aptos" w:eastAsiaTheme="minorEastAsia" w:hAnsi="Aptos" w:cstheme="minorBidi"/>
          <w:color w:val="002060"/>
          <w:kern w:val="2"/>
          <w:sz w:val="22"/>
          <w:szCs w:val="22"/>
          <w:lang w:eastAsia="en-US"/>
          <w14:ligatures w14:val="standardContextual"/>
        </w:rPr>
        <w:t>fáze realizace</w:t>
      </w:r>
      <w:r w:rsidRPr="5BF5182F">
        <w:rPr>
          <w:rFonts w:ascii="Aptos" w:eastAsiaTheme="minorEastAsia" w:hAnsi="Aptos" w:cstheme="minorBidi"/>
          <w:color w:val="002060"/>
          <w:kern w:val="2"/>
          <w:sz w:val="22"/>
          <w:szCs w:val="22"/>
          <w:lang w:eastAsia="en-US"/>
          <w14:ligatures w14:val="standardContextual"/>
        </w:rPr>
        <w:t xml:space="preserve"> a slouží</w:t>
      </w:r>
      <w:r w:rsidR="4D25E5FB" w:rsidRPr="5BF5182F">
        <w:rPr>
          <w:rFonts w:ascii="Aptos" w:eastAsiaTheme="minorEastAsia" w:hAnsi="Aptos" w:cstheme="minorBidi"/>
          <w:color w:val="002060"/>
          <w:kern w:val="2"/>
          <w:sz w:val="22"/>
          <w:szCs w:val="22"/>
          <w:lang w:eastAsia="en-US"/>
          <w14:ligatures w14:val="standardContextual"/>
        </w:rPr>
        <w:t xml:space="preserve">           </w:t>
      </w:r>
      <w:r w:rsidR="00644157">
        <w:rPr>
          <w:rFonts w:ascii="Aptos" w:eastAsiaTheme="minorEastAsia" w:hAnsi="Aptos" w:cstheme="minorBidi"/>
          <w:color w:val="002060"/>
          <w:kern w:val="2"/>
          <w:sz w:val="22"/>
          <w:szCs w:val="22"/>
          <w:lang w:eastAsia="en-US"/>
          <w14:ligatures w14:val="standardContextual"/>
        </w:rPr>
        <w:t xml:space="preserve">      </w:t>
      </w:r>
      <w:r w:rsidRPr="5BF5182F">
        <w:rPr>
          <w:rFonts w:ascii="Aptos" w:eastAsiaTheme="minorEastAsia" w:hAnsi="Aptos" w:cstheme="minorBidi"/>
          <w:color w:val="002060"/>
          <w:kern w:val="2"/>
          <w:sz w:val="22"/>
          <w:szCs w:val="22"/>
          <w:lang w:eastAsia="en-US"/>
          <w14:ligatures w14:val="standardContextual"/>
        </w:rPr>
        <w:t>k posouzení dosaženého pokroku, identifikaci případných bariér a návrhu úprav pro následující období realizace. Výsledky evaluace jsou využívány pro aktualizaci implementačních plánů, úpravu</w:t>
      </w:r>
      <w:r w:rsidR="266C17B5" w:rsidRPr="5BF5182F">
        <w:rPr>
          <w:rFonts w:ascii="Aptos" w:eastAsiaTheme="minorEastAsia" w:hAnsi="Aptos" w:cstheme="minorBidi"/>
          <w:color w:val="002060"/>
          <w:kern w:val="2"/>
          <w:sz w:val="22"/>
          <w:szCs w:val="22"/>
          <w:lang w:eastAsia="en-US"/>
          <w14:ligatures w14:val="standardContextual"/>
        </w:rPr>
        <w:t xml:space="preserve"> </w:t>
      </w:r>
      <w:r w:rsidRPr="5BF5182F">
        <w:rPr>
          <w:rFonts w:ascii="Aptos" w:eastAsiaTheme="minorEastAsia" w:hAnsi="Aptos" w:cstheme="minorBidi"/>
          <w:color w:val="002060"/>
          <w:kern w:val="2"/>
          <w:sz w:val="22"/>
          <w:szCs w:val="22"/>
          <w:lang w:eastAsia="en-US"/>
          <w14:ligatures w14:val="standardContextual"/>
        </w:rPr>
        <w:t>postupů a případné zpřesnění indikátorů tak, aby byla zajištěna dlouhodobá efektivita, udržitelnost a transparentnost realizace strategie.</w:t>
      </w:r>
    </w:p>
    <w:p w14:paraId="3A99C35C" w14:textId="603DE7D2" w:rsidR="004D25BB" w:rsidRPr="004D25BB" w:rsidRDefault="004D25BB" w:rsidP="676DAA56">
      <w:pPr>
        <w:pStyle w:val="Normlnweb"/>
        <w:jc w:val="both"/>
        <w:rPr>
          <w:lang w:eastAsia="en-US"/>
        </w:rPr>
      </w:pPr>
      <w:r w:rsidRPr="676DAA56">
        <w:rPr>
          <w:rFonts w:ascii="Aptos" w:eastAsiaTheme="minorEastAsia" w:hAnsi="Aptos" w:cstheme="minorBidi"/>
          <w:color w:val="002060"/>
          <w:kern w:val="2"/>
          <w:sz w:val="22"/>
          <w:szCs w:val="22"/>
          <w:lang w:eastAsia="en-US"/>
          <w14:ligatures w14:val="standardContextual"/>
        </w:rPr>
        <w:t>Přehled indikátorů vztahujících se k jednotlivým strategickým cílům je uveden v přílohách implementačních plánů</w:t>
      </w:r>
      <w:r w:rsidR="1257077C" w:rsidRPr="676DAA56">
        <w:rPr>
          <w:rFonts w:ascii="Aptos" w:eastAsiaTheme="minorEastAsia" w:hAnsi="Aptos" w:cstheme="minorBidi"/>
          <w:color w:val="002060"/>
          <w:kern w:val="2"/>
          <w:sz w:val="22"/>
          <w:szCs w:val="22"/>
          <w:lang w:eastAsia="en-US"/>
          <w14:ligatures w14:val="standardContextual"/>
        </w:rPr>
        <w:t>.</w:t>
      </w:r>
    </w:p>
    <w:p w14:paraId="26253E96" w14:textId="55479D5D" w:rsidR="004D25BB" w:rsidRPr="004D25BB" w:rsidRDefault="004D25BB" w:rsidP="004D25BB">
      <w:pPr>
        <w:pStyle w:val="Normlnweb"/>
        <w:jc w:val="both"/>
      </w:pPr>
    </w:p>
    <w:p w14:paraId="2AF0B7A6" w14:textId="2A348E10" w:rsidR="004D25BB" w:rsidRPr="004D25BB" w:rsidRDefault="62490765" w:rsidP="676DAA56">
      <w:pPr>
        <w:pStyle w:val="Normlnweb"/>
        <w:jc w:val="both"/>
        <w:rPr>
          <w:rFonts w:ascii="Aptos" w:eastAsia="Aptos" w:hAnsi="Aptos" w:cs="Aptos"/>
          <w:color w:val="002060"/>
          <w:kern w:val="2"/>
          <w:sz w:val="40"/>
          <w:szCs w:val="40"/>
          <w:lang w:eastAsia="en-US"/>
          <w14:ligatures w14:val="standardContextual"/>
        </w:rPr>
      </w:pPr>
      <w:r w:rsidRPr="676DAA56">
        <w:rPr>
          <w:rFonts w:ascii="Aptos" w:eastAsia="Aptos" w:hAnsi="Aptos" w:cs="Aptos"/>
          <w:color w:val="002060"/>
          <w:sz w:val="40"/>
          <w:szCs w:val="40"/>
        </w:rPr>
        <w:t xml:space="preserve">6 </w:t>
      </w:r>
      <w:r w:rsidR="2FA473A3" w:rsidRPr="676DAA56">
        <w:rPr>
          <w:rFonts w:ascii="Aptos" w:eastAsia="Aptos" w:hAnsi="Aptos" w:cs="Aptos"/>
          <w:color w:val="002060"/>
          <w:sz w:val="40"/>
          <w:szCs w:val="40"/>
        </w:rPr>
        <w:t>Řízení rizik</w:t>
      </w:r>
    </w:p>
    <w:p w14:paraId="612DFF0E" w14:textId="76D4871E" w:rsidR="0075E326" w:rsidRDefault="0075E326" w:rsidP="5BF5182F">
      <w:pPr>
        <w:spacing w:after="0" w:line="240" w:lineRule="auto"/>
        <w:jc w:val="both"/>
        <w:rPr>
          <w:rFonts w:eastAsia="Aptos" w:cs="Aptos"/>
        </w:rPr>
      </w:pPr>
      <w:r w:rsidRPr="5BF5182F">
        <w:rPr>
          <w:rFonts w:eastAsia="Aptos" w:cs="Aptos"/>
        </w:rPr>
        <w:t xml:space="preserve">Úspěšná implementace strategie vyžaduje nejen jasně definované cíle a opatření, ale také schopnost předvídat a efektivně reagovat na potenciální rizika, která mohou ohrozit její realizaci. Vzhledem ke komplexnosti problematiky VO, zapojení širokého spektra aktérů a proměnlivosti vnějšího prostředí je nezbytné </w:t>
      </w:r>
      <w:r w:rsidR="0061BFC3" w:rsidRPr="5BF5182F">
        <w:rPr>
          <w:rFonts w:eastAsia="Aptos" w:cs="Aptos"/>
        </w:rPr>
        <w:t xml:space="preserve">respektovat strategií nastavený </w:t>
      </w:r>
      <w:r w:rsidRPr="5BF5182F">
        <w:rPr>
          <w:rFonts w:eastAsia="Aptos" w:cs="Aptos"/>
        </w:rPr>
        <w:t>přístup k řízení rizik. Tento přístup umožní včas identifikovat hrozby, posoudit jejich závažnost, navrhnout adekvátní opatření k jejich eliminaci či zmírnění dopadů a zajistit kontinuitu implementačních procesů. Garantem řízení rizik je MZD.</w:t>
      </w:r>
    </w:p>
    <w:p w14:paraId="64A458E5" w14:textId="0B8DDF49" w:rsidR="5BF5182F" w:rsidRDefault="5BF5182F" w:rsidP="5BF5182F">
      <w:pPr>
        <w:spacing w:after="0" w:line="240" w:lineRule="auto"/>
        <w:jc w:val="both"/>
        <w:rPr>
          <w:rFonts w:eastAsia="Aptos" w:cs="Aptos"/>
          <w:color w:val="153D63"/>
        </w:rPr>
      </w:pPr>
    </w:p>
    <w:p w14:paraId="52FF893F" w14:textId="3B2CD3A4" w:rsidR="0075E326" w:rsidRDefault="0075E326" w:rsidP="5BF5182F">
      <w:pPr>
        <w:pStyle w:val="Odstavecseseznamem"/>
        <w:numPr>
          <w:ilvl w:val="1"/>
          <w:numId w:val="3"/>
        </w:numPr>
        <w:spacing w:after="0" w:line="240" w:lineRule="auto"/>
        <w:jc w:val="both"/>
        <w:rPr>
          <w:rFonts w:eastAsia="Aptos" w:cs="Aptos"/>
          <w:color w:val="153D63"/>
        </w:rPr>
      </w:pPr>
      <w:r w:rsidRPr="5BF5182F">
        <w:rPr>
          <w:rFonts w:eastAsia="Aptos" w:cs="Aptos"/>
          <w:b/>
          <w:bCs/>
          <w:color w:val="153D63"/>
        </w:rPr>
        <w:t xml:space="preserve">Identifikace rizik – </w:t>
      </w:r>
      <w:r w:rsidRPr="5BF5182F">
        <w:rPr>
          <w:rFonts w:eastAsia="Aptos" w:cs="Aptos"/>
          <w:color w:val="153D63"/>
        </w:rPr>
        <w:t>Pravidelné mapování potenciálních rizik, která mohou vzniknout v souvislosti s realizací jednotlivých opatření strategie. Tento proces nebude jednorázový, ale bude probíhat kontinuálně v průběhu celé implementace. Do identifikace rizik budou aktivně zapojeny pracovní skupiny a implementační partneři, kteří mají detailní znalost konkrétních oblastí a mohou včas upozornit na možné komplikace. Tím se zajistí komplexní pohled na rizika napříč sektory a úrovněmi řízení.</w:t>
      </w:r>
    </w:p>
    <w:p w14:paraId="5C39D420" w14:textId="03B07FB9" w:rsidR="5BF5182F" w:rsidRDefault="5BF5182F" w:rsidP="5BF5182F">
      <w:pPr>
        <w:spacing w:after="0" w:line="240" w:lineRule="auto"/>
        <w:ind w:left="360"/>
        <w:jc w:val="both"/>
        <w:rPr>
          <w:rFonts w:eastAsia="Aptos" w:cs="Aptos"/>
          <w:color w:val="153D63"/>
        </w:rPr>
      </w:pPr>
    </w:p>
    <w:p w14:paraId="1B6FDE92" w14:textId="0BC3DD2D" w:rsidR="0075E326" w:rsidRDefault="0075E326" w:rsidP="5BF5182F">
      <w:pPr>
        <w:pStyle w:val="Odstavecseseznamem"/>
        <w:numPr>
          <w:ilvl w:val="1"/>
          <w:numId w:val="3"/>
        </w:numPr>
        <w:spacing w:after="0" w:line="240" w:lineRule="auto"/>
        <w:jc w:val="both"/>
        <w:rPr>
          <w:rFonts w:eastAsia="Aptos" w:cs="Aptos"/>
          <w:color w:val="153D63"/>
        </w:rPr>
      </w:pPr>
      <w:r w:rsidRPr="5BF5182F">
        <w:rPr>
          <w:rFonts w:eastAsia="Aptos" w:cs="Aptos"/>
          <w:b/>
          <w:bCs/>
          <w:color w:val="153D63"/>
        </w:rPr>
        <w:t xml:space="preserve">Kategorizace rizik – </w:t>
      </w:r>
      <w:r w:rsidRPr="5BF5182F">
        <w:rPr>
          <w:rFonts w:eastAsia="Aptos" w:cs="Aptos"/>
          <w:color w:val="153D63"/>
        </w:rPr>
        <w:t xml:space="preserve">Po identifikaci následuje jejich systematické rozdělení podle typu. Každé riziko bude dále hodnoceno z hlediska pravděpodobnosti jeho výskytu a míry dopadu na implementaci strategie. </w:t>
      </w:r>
    </w:p>
    <w:p w14:paraId="2CA63F17" w14:textId="37C43315" w:rsidR="5BF5182F" w:rsidRDefault="5BF5182F" w:rsidP="5BF5182F">
      <w:pPr>
        <w:spacing w:after="0" w:line="240" w:lineRule="auto"/>
        <w:jc w:val="both"/>
        <w:rPr>
          <w:rFonts w:eastAsia="Aptos" w:cs="Aptos"/>
          <w:color w:val="153D63"/>
        </w:rPr>
      </w:pPr>
    </w:p>
    <w:p w14:paraId="513B7D41" w14:textId="02D4AE72" w:rsidR="0075E326" w:rsidRDefault="0075E326" w:rsidP="5BF5182F">
      <w:pPr>
        <w:pStyle w:val="Odstavecseseznamem"/>
        <w:numPr>
          <w:ilvl w:val="1"/>
          <w:numId w:val="3"/>
        </w:numPr>
        <w:spacing w:after="0" w:line="240" w:lineRule="auto"/>
        <w:jc w:val="both"/>
        <w:rPr>
          <w:rFonts w:eastAsia="Aptos" w:cs="Aptos"/>
          <w:color w:val="153D63"/>
        </w:rPr>
      </w:pPr>
      <w:r w:rsidRPr="5BF5182F">
        <w:rPr>
          <w:rFonts w:eastAsia="Aptos" w:cs="Aptos"/>
          <w:b/>
          <w:bCs/>
          <w:color w:val="153D63"/>
        </w:rPr>
        <w:t xml:space="preserve">Plánování eliminace – </w:t>
      </w:r>
      <w:r w:rsidRPr="5BF5182F">
        <w:rPr>
          <w:rFonts w:eastAsia="Aptos" w:cs="Aptos"/>
          <w:color w:val="153D63"/>
        </w:rPr>
        <w:t>Na základě hodnocení rizik budou navržena konkrétní eliminační opatření, která mají za cíl buď snížit pravděpodobnost výskytu rizika, nebo zmírnit jeho dopad. Součástí plánování je také určení odpovědných subjektů, které budou mít realizaci těchto opatření na starosti.</w:t>
      </w:r>
    </w:p>
    <w:p w14:paraId="5CBCA3DC" w14:textId="5C0A82CC" w:rsidR="5BF5182F" w:rsidRDefault="5BF5182F" w:rsidP="5BF5182F">
      <w:pPr>
        <w:spacing w:after="0" w:line="240" w:lineRule="auto"/>
        <w:jc w:val="both"/>
        <w:rPr>
          <w:rFonts w:eastAsia="Aptos" w:cs="Aptos"/>
          <w:color w:val="153D63"/>
        </w:rPr>
      </w:pPr>
    </w:p>
    <w:p w14:paraId="3D4316D5" w14:textId="7C4EBA8E" w:rsidR="0075E326" w:rsidRDefault="0075E326" w:rsidP="5BF5182F">
      <w:pPr>
        <w:pStyle w:val="Odstavecseseznamem"/>
        <w:numPr>
          <w:ilvl w:val="1"/>
          <w:numId w:val="3"/>
        </w:numPr>
        <w:spacing w:after="0" w:line="240" w:lineRule="auto"/>
        <w:jc w:val="both"/>
        <w:rPr>
          <w:rFonts w:eastAsia="Aptos" w:cs="Aptos"/>
          <w:color w:val="153D63"/>
        </w:rPr>
      </w:pPr>
      <w:r w:rsidRPr="5BF5182F">
        <w:rPr>
          <w:rFonts w:eastAsia="Aptos" w:cs="Aptos"/>
          <w:b/>
          <w:bCs/>
          <w:color w:val="153D63"/>
        </w:rPr>
        <w:t xml:space="preserve">Monitoring a aktualizace rizik – </w:t>
      </w:r>
      <w:r w:rsidRPr="5BF5182F">
        <w:rPr>
          <w:rFonts w:eastAsia="Aptos" w:cs="Aptos"/>
          <w:color w:val="153D63"/>
        </w:rPr>
        <w:t>Rizika nejsou statická – mohou se měnit v závislosti na vývoji prostředí, legislativy nebo samotné implementace. Proto bude veden registr rizik součástí, kterého bude proces jeho průběžné aktualizace rizikového registru. Tento registr bude sloužit jako centrální nástroj pro sledování a správu rizik.</w:t>
      </w:r>
    </w:p>
    <w:p w14:paraId="51D52D28" w14:textId="6CC11D04" w:rsidR="5BF5182F" w:rsidRDefault="5BF5182F" w:rsidP="5BF5182F">
      <w:pPr>
        <w:spacing w:after="0" w:line="240" w:lineRule="auto"/>
        <w:jc w:val="both"/>
        <w:rPr>
          <w:rFonts w:eastAsia="Aptos" w:cs="Aptos"/>
          <w:color w:val="153D63"/>
        </w:rPr>
      </w:pPr>
    </w:p>
    <w:p w14:paraId="2ABE9495" w14:textId="6A584CDE" w:rsidR="0075E326" w:rsidRDefault="0075E326" w:rsidP="5BF5182F">
      <w:pPr>
        <w:pStyle w:val="Odstavecseseznamem"/>
        <w:numPr>
          <w:ilvl w:val="1"/>
          <w:numId w:val="3"/>
        </w:numPr>
        <w:spacing w:after="0" w:line="240" w:lineRule="auto"/>
        <w:jc w:val="both"/>
        <w:rPr>
          <w:rFonts w:eastAsia="Aptos" w:cs="Aptos"/>
          <w:color w:val="153D63"/>
        </w:rPr>
      </w:pPr>
      <w:r w:rsidRPr="5BF5182F">
        <w:rPr>
          <w:rFonts w:eastAsia="Aptos" w:cs="Aptos"/>
          <w:b/>
          <w:bCs/>
          <w:color w:val="153D63"/>
        </w:rPr>
        <w:t xml:space="preserve">Reakce na vzniklá rizika – </w:t>
      </w:r>
      <w:r w:rsidRPr="5BF5182F">
        <w:rPr>
          <w:rFonts w:eastAsia="Aptos" w:cs="Aptos"/>
          <w:color w:val="153D63"/>
        </w:rPr>
        <w:t xml:space="preserve">V případě, že se některé riziko skutečně naplní, budou připravené postupy krizového řízení. Tyto postupy definují, jakým způsobem bude situace řešena a jaké kapacity budou aktivovány. </w:t>
      </w:r>
    </w:p>
    <w:p w14:paraId="0113BA7B" w14:textId="77C156A9" w:rsidR="5BF5182F" w:rsidRDefault="5BF5182F" w:rsidP="5BF5182F">
      <w:pPr>
        <w:spacing w:after="0" w:line="240" w:lineRule="auto"/>
        <w:jc w:val="both"/>
        <w:rPr>
          <w:rFonts w:eastAsia="Aptos" w:cs="Aptos"/>
          <w:color w:val="153D63"/>
        </w:rPr>
      </w:pPr>
    </w:p>
    <w:p w14:paraId="2E2E2E82" w14:textId="17E029A6" w:rsidR="0075E326" w:rsidRDefault="0075E326" w:rsidP="5BF5182F">
      <w:pPr>
        <w:pStyle w:val="Odstavecseseznamem"/>
        <w:numPr>
          <w:ilvl w:val="1"/>
          <w:numId w:val="3"/>
        </w:numPr>
        <w:spacing w:after="0" w:line="240" w:lineRule="auto"/>
        <w:jc w:val="both"/>
        <w:rPr>
          <w:rFonts w:eastAsia="Aptos" w:cs="Aptos"/>
          <w:color w:val="153D63"/>
        </w:rPr>
      </w:pPr>
      <w:r w:rsidRPr="5BF5182F">
        <w:rPr>
          <w:rFonts w:eastAsia="Aptos" w:cs="Aptos"/>
          <w:b/>
          <w:bCs/>
          <w:color w:val="153D63"/>
        </w:rPr>
        <w:t xml:space="preserve">Integrace do implementačního rámce – </w:t>
      </w:r>
      <w:r w:rsidRPr="5BF5182F">
        <w:rPr>
          <w:rFonts w:eastAsia="Aptos" w:cs="Aptos"/>
          <w:color w:val="153D63"/>
        </w:rPr>
        <w:t>Řízení rizik není samostatnou aktivitou, ale musí být integrováno do celkové struktury řízení strategie. To znamená, že se stává součástí činnosti koordinačního týmu, pracovních skupin i dalších implementačních struktur.</w:t>
      </w:r>
    </w:p>
    <w:p w14:paraId="6ADA5353" w14:textId="50C754B1" w:rsidR="00E96331" w:rsidRPr="00924421" w:rsidRDefault="5265C285" w:rsidP="5BF5182F">
      <w:pPr>
        <w:pStyle w:val="Normlnweb"/>
        <w:jc w:val="both"/>
        <w:rPr>
          <w:rFonts w:ascii="Aptos" w:eastAsiaTheme="minorEastAsia" w:hAnsi="Aptos" w:cstheme="minorBidi"/>
          <w:color w:val="002060"/>
          <w:kern w:val="2"/>
          <w:sz w:val="22"/>
          <w:szCs w:val="22"/>
          <w:lang w:eastAsia="en-US"/>
          <w14:ligatures w14:val="standardContextual"/>
        </w:rPr>
      </w:pPr>
      <w:r w:rsidRPr="5BF5182F">
        <w:rPr>
          <w:rFonts w:ascii="Aptos" w:eastAsiaTheme="minorEastAsia" w:hAnsi="Aptos" w:cstheme="minorBidi"/>
          <w:color w:val="002060"/>
          <w:kern w:val="2"/>
          <w:sz w:val="22"/>
          <w:szCs w:val="22"/>
          <w:lang w:eastAsia="en-US"/>
          <w14:ligatures w14:val="standardContextual"/>
        </w:rPr>
        <w:t xml:space="preserve">Registr rizik je veden jako samostatná příloha implementačního rámce a obsahuje identifikaci jednotlivých rizik, jejich pravděpodobnost a dopad, odpovědnost za jejich sledování a navržená opatření ke zmírnění jejich dopadů. Registr rizik </w:t>
      </w:r>
      <w:r w:rsidR="06278328" w:rsidRPr="5BF5182F">
        <w:rPr>
          <w:rFonts w:ascii="Aptos" w:eastAsiaTheme="minorEastAsia" w:hAnsi="Aptos" w:cstheme="minorBidi"/>
          <w:color w:val="002060"/>
          <w:kern w:val="2"/>
          <w:sz w:val="22"/>
          <w:szCs w:val="22"/>
          <w:lang w:eastAsia="en-US"/>
          <w14:ligatures w14:val="standardContextual"/>
        </w:rPr>
        <w:t>bude</w:t>
      </w:r>
      <w:r w:rsidR="2FAE6323" w:rsidRPr="5BF5182F">
        <w:rPr>
          <w:rFonts w:ascii="Aptos" w:eastAsiaTheme="minorEastAsia" w:hAnsi="Aptos" w:cstheme="minorBidi"/>
          <w:color w:val="002060"/>
          <w:kern w:val="2"/>
          <w:sz w:val="22"/>
          <w:szCs w:val="22"/>
          <w:lang w:eastAsia="en-US"/>
          <w14:ligatures w14:val="standardContextual"/>
        </w:rPr>
        <w:t xml:space="preserve"> rozpracován</w:t>
      </w:r>
      <w:r w:rsidR="1F7F5F20" w:rsidRPr="5BF5182F">
        <w:rPr>
          <w:rFonts w:ascii="Aptos" w:eastAsiaTheme="minorEastAsia" w:hAnsi="Aptos" w:cstheme="minorBidi"/>
          <w:color w:val="002060"/>
          <w:kern w:val="2"/>
          <w:sz w:val="22"/>
          <w:szCs w:val="22"/>
          <w:lang w:eastAsia="en-US"/>
          <w14:ligatures w14:val="standardContextual"/>
        </w:rPr>
        <w:t xml:space="preserve"> pro</w:t>
      </w:r>
      <w:r w:rsidRPr="5BF5182F">
        <w:rPr>
          <w:rFonts w:ascii="Aptos" w:eastAsiaTheme="minorEastAsia" w:hAnsi="Aptos" w:cstheme="minorBidi"/>
          <w:color w:val="002060"/>
          <w:kern w:val="2"/>
          <w:sz w:val="22"/>
          <w:szCs w:val="22"/>
          <w:lang w:eastAsia="en-US"/>
          <w14:ligatures w14:val="standardContextual"/>
        </w:rPr>
        <w:t xml:space="preserve"> </w:t>
      </w:r>
      <w:r w:rsidR="1F7F5F20" w:rsidRPr="5BF5182F">
        <w:rPr>
          <w:rFonts w:ascii="Aptos" w:eastAsiaTheme="minorEastAsia" w:hAnsi="Aptos" w:cstheme="minorBidi"/>
          <w:color w:val="002060"/>
          <w:kern w:val="2"/>
          <w:sz w:val="22"/>
          <w:szCs w:val="22"/>
          <w:lang w:eastAsia="en-US"/>
          <w14:ligatures w14:val="standardContextual"/>
        </w:rPr>
        <w:t>jednotl</w:t>
      </w:r>
      <w:r w:rsidR="2EED3E88" w:rsidRPr="5BF5182F">
        <w:rPr>
          <w:rFonts w:ascii="Aptos" w:eastAsiaTheme="minorEastAsia" w:hAnsi="Aptos" w:cstheme="minorBidi"/>
          <w:color w:val="002060"/>
          <w:kern w:val="2"/>
          <w:sz w:val="22"/>
          <w:szCs w:val="22"/>
          <w:lang w:eastAsia="en-US"/>
          <w14:ligatures w14:val="standardContextual"/>
        </w:rPr>
        <w:t>ivé st</w:t>
      </w:r>
      <w:r w:rsidR="12A4A77C" w:rsidRPr="5BF5182F">
        <w:rPr>
          <w:rFonts w:ascii="Aptos" w:eastAsiaTheme="minorEastAsia" w:hAnsi="Aptos" w:cstheme="minorBidi"/>
          <w:color w:val="002060"/>
          <w:kern w:val="2"/>
          <w:sz w:val="22"/>
          <w:szCs w:val="22"/>
          <w:lang w:eastAsia="en-US"/>
          <w14:ligatures w14:val="standardContextual"/>
        </w:rPr>
        <w:t>rat</w:t>
      </w:r>
      <w:r w:rsidR="2EED3E88" w:rsidRPr="5BF5182F">
        <w:rPr>
          <w:rFonts w:ascii="Aptos" w:eastAsiaTheme="minorEastAsia" w:hAnsi="Aptos" w:cstheme="minorBidi"/>
          <w:color w:val="002060"/>
          <w:kern w:val="2"/>
          <w:sz w:val="22"/>
          <w:szCs w:val="22"/>
          <w:lang w:eastAsia="en-US"/>
          <w14:ligatures w14:val="standardContextual"/>
        </w:rPr>
        <w:t xml:space="preserve">egické cíle </w:t>
      </w:r>
      <w:r w:rsidR="23D6FEB2" w:rsidRPr="5BF5182F">
        <w:rPr>
          <w:rFonts w:ascii="Aptos" w:eastAsiaTheme="minorEastAsia" w:hAnsi="Aptos" w:cstheme="minorBidi"/>
          <w:color w:val="002060"/>
          <w:kern w:val="2"/>
          <w:sz w:val="22"/>
          <w:szCs w:val="22"/>
          <w:lang w:eastAsia="en-US"/>
          <w14:ligatures w14:val="standardContextual"/>
        </w:rPr>
        <w:t xml:space="preserve">a </w:t>
      </w:r>
      <w:r w:rsidRPr="5BF5182F">
        <w:rPr>
          <w:rFonts w:ascii="Aptos" w:eastAsiaTheme="minorEastAsia" w:hAnsi="Aptos" w:cstheme="minorBidi"/>
          <w:color w:val="002060"/>
          <w:kern w:val="2"/>
          <w:sz w:val="22"/>
          <w:szCs w:val="22"/>
          <w:lang w:eastAsia="en-US"/>
          <w14:ligatures w14:val="standardContextual"/>
        </w:rPr>
        <w:t>průběžně aktualizován v návaznosti na výsledky monitoringu a evaluace a slouží jako nástroj pro včasnou reakci na identifikované problémy v průběhu realizace strategie</w:t>
      </w:r>
      <w:r w:rsidR="50223A4E" w:rsidRPr="5BF5182F">
        <w:rPr>
          <w:rFonts w:ascii="Aptos" w:eastAsiaTheme="minorEastAsia" w:hAnsi="Aptos" w:cstheme="minorBidi"/>
          <w:color w:val="002060"/>
          <w:kern w:val="2"/>
          <w:sz w:val="22"/>
          <w:szCs w:val="22"/>
          <w:lang w:eastAsia="en-US"/>
          <w14:ligatures w14:val="standardContextual"/>
        </w:rPr>
        <w:t>.</w:t>
      </w:r>
    </w:p>
    <w:p w14:paraId="2D14A5C8" w14:textId="049AA908" w:rsidR="000A1709" w:rsidRDefault="013AEADF" w:rsidP="5BF5182F">
      <w:pPr>
        <w:pStyle w:val="Nadpis1"/>
        <w:rPr>
          <w:b/>
          <w:bCs/>
        </w:rPr>
      </w:pPr>
      <w:r>
        <w:t>Řízení změn</w:t>
      </w:r>
    </w:p>
    <w:p w14:paraId="2CEB1E46" w14:textId="07F96F50" w:rsidR="00B72E17" w:rsidRPr="00183F5F" w:rsidRDefault="41415235" w:rsidP="00B72E17">
      <w:pPr>
        <w:jc w:val="both"/>
      </w:pPr>
      <w:r>
        <w:t>Proces realizace</w:t>
      </w:r>
      <w:r w:rsidR="6690B0D2">
        <w:t xml:space="preserve"> </w:t>
      </w:r>
      <w:r w:rsidR="01A0E63B">
        <w:t>NSVO</w:t>
      </w:r>
      <w:r w:rsidR="6690B0D2">
        <w:t xml:space="preserve"> probíhá v prostředí, které se v průběhu času vyvíjí v návaznosti na změny</w:t>
      </w:r>
      <w:r w:rsidR="21486B3B">
        <w:t xml:space="preserve"> </w:t>
      </w:r>
      <w:r w:rsidR="6690B0D2">
        <w:t>v organizaci zdravotního a sociálního systému, legislativní úpravy, dostupnost zdrojů</w:t>
      </w:r>
      <w:r w:rsidR="36D8455C">
        <w:t xml:space="preserve">                      </w:t>
      </w:r>
      <w:r w:rsidR="00644157">
        <w:t xml:space="preserve">              </w:t>
      </w:r>
      <w:r w:rsidR="36D8455C">
        <w:t xml:space="preserve">   </w:t>
      </w:r>
      <w:r w:rsidR="6690B0D2">
        <w:t>i zkušenosti získané během realizace jednotlivých opatření</w:t>
      </w:r>
      <w:r w:rsidR="2A5D071C">
        <w:t xml:space="preserve"> a personálních kapacit</w:t>
      </w:r>
      <w:r w:rsidR="6690B0D2">
        <w:t xml:space="preserve">. Z tohoto důvodu je implementační rámec i jednotlivé implementační plány koncipovány jako </w:t>
      </w:r>
      <w:r w:rsidR="553BFC79">
        <w:t>„</w:t>
      </w:r>
      <w:r w:rsidR="6690B0D2">
        <w:t>živé</w:t>
      </w:r>
      <w:r w:rsidR="553BFC79">
        <w:t>“</w:t>
      </w:r>
      <w:r w:rsidR="6690B0D2">
        <w:t xml:space="preserve"> dokumenty, které mohou být v průběhu realizace průběžně aktualizovány tak, aby reflektovaly aktuální potřeby systému a výsledky monitoringu a evaluace.</w:t>
      </w:r>
    </w:p>
    <w:p w14:paraId="5B51FDE6" w14:textId="35B409A1" w:rsidR="78B23115" w:rsidRDefault="78B23115" w:rsidP="5BF5182F">
      <w:pPr>
        <w:spacing w:after="0" w:line="240" w:lineRule="auto"/>
        <w:jc w:val="both"/>
        <w:rPr>
          <w:rFonts w:eastAsia="Aptos" w:cs="Aptos"/>
          <w:color w:val="153D63"/>
        </w:rPr>
      </w:pPr>
      <w:r w:rsidRPr="5BF5182F">
        <w:rPr>
          <w:rFonts w:eastAsia="Aptos" w:cs="Aptos"/>
          <w:color w:val="153D63"/>
        </w:rPr>
        <w:t xml:space="preserve">V rámci strategie je zaveden systém řízení změn, který umožní reagovat na vývoj. Tento systém je zaměřen na realizační rovinu implementace, tj. na úpravy opatření a implementačních plánů. </w:t>
      </w:r>
    </w:p>
    <w:p w14:paraId="35D6477D" w14:textId="47579D14" w:rsidR="5BF5182F" w:rsidRDefault="5BF5182F" w:rsidP="5BF5182F">
      <w:pPr>
        <w:spacing w:after="0" w:line="240" w:lineRule="auto"/>
        <w:jc w:val="both"/>
        <w:rPr>
          <w:rFonts w:eastAsia="Aptos" w:cs="Aptos"/>
          <w:color w:val="153D63"/>
        </w:rPr>
      </w:pPr>
    </w:p>
    <w:p w14:paraId="33081587" w14:textId="3D2FDB98" w:rsidR="78B23115" w:rsidRDefault="78B23115" w:rsidP="5BF5182F">
      <w:pPr>
        <w:pStyle w:val="Odstavecseseznamem"/>
        <w:numPr>
          <w:ilvl w:val="2"/>
          <w:numId w:val="4"/>
        </w:numPr>
        <w:spacing w:after="0" w:line="240" w:lineRule="auto"/>
        <w:jc w:val="both"/>
        <w:rPr>
          <w:rFonts w:eastAsia="Aptos" w:cs="Aptos"/>
          <w:color w:val="153D63"/>
        </w:rPr>
      </w:pPr>
      <w:r w:rsidRPr="5BF5182F">
        <w:rPr>
          <w:rFonts w:eastAsia="Aptos" w:cs="Aptos"/>
          <w:b/>
          <w:bCs/>
          <w:color w:val="153D63"/>
        </w:rPr>
        <w:t xml:space="preserve">Identifikace potřeby změny </w:t>
      </w:r>
      <w:r w:rsidRPr="5BF5182F">
        <w:rPr>
          <w:rFonts w:eastAsia="Aptos" w:cs="Aptos"/>
          <w:color w:val="153D63"/>
        </w:rPr>
        <w:t>– Potřeba změny je identifikována garantem cíle, implementačním týmem nebo jiným relevantním aktérem na základě dat, výstupů z evaluace nebo zpětné vazby.</w:t>
      </w:r>
    </w:p>
    <w:p w14:paraId="1D7E2381" w14:textId="13888D40" w:rsidR="78B23115" w:rsidRDefault="78B23115" w:rsidP="5BF5182F">
      <w:pPr>
        <w:pStyle w:val="Odstavecseseznamem"/>
        <w:numPr>
          <w:ilvl w:val="2"/>
          <w:numId w:val="4"/>
        </w:numPr>
        <w:spacing w:after="0" w:line="240" w:lineRule="auto"/>
        <w:jc w:val="both"/>
        <w:rPr>
          <w:rFonts w:eastAsia="Aptos" w:cs="Aptos"/>
          <w:color w:val="153D63"/>
        </w:rPr>
      </w:pPr>
      <w:r w:rsidRPr="5BF5182F">
        <w:rPr>
          <w:rFonts w:eastAsia="Aptos" w:cs="Aptos"/>
          <w:b/>
          <w:bCs/>
          <w:color w:val="153D63"/>
        </w:rPr>
        <w:t>Odborné posouzení</w:t>
      </w:r>
      <w:r w:rsidRPr="5BF5182F">
        <w:rPr>
          <w:rFonts w:eastAsia="Aptos" w:cs="Aptos"/>
          <w:color w:val="153D63"/>
        </w:rPr>
        <w:t xml:space="preserve"> – Návrh je posouzen z hlediska proveditelnosti, dopadů na cílové skupiny, finančních a organizačních nároků a souladu s cíli strategie.</w:t>
      </w:r>
    </w:p>
    <w:p w14:paraId="725AF9F7" w14:textId="3747B891" w:rsidR="78B23115" w:rsidRDefault="78B23115" w:rsidP="5BF5182F">
      <w:pPr>
        <w:pStyle w:val="Odstavecseseznamem"/>
        <w:numPr>
          <w:ilvl w:val="2"/>
          <w:numId w:val="4"/>
        </w:numPr>
        <w:spacing w:after="0" w:line="240" w:lineRule="auto"/>
        <w:jc w:val="both"/>
        <w:rPr>
          <w:rFonts w:eastAsia="Aptos" w:cs="Aptos"/>
          <w:color w:val="153D63"/>
        </w:rPr>
      </w:pPr>
      <w:r w:rsidRPr="5BF5182F">
        <w:rPr>
          <w:rFonts w:eastAsia="Aptos" w:cs="Aptos"/>
          <w:b/>
          <w:bCs/>
          <w:color w:val="153D63"/>
        </w:rPr>
        <w:t>Formulace návrhu změny</w:t>
      </w:r>
      <w:r w:rsidRPr="5BF5182F">
        <w:rPr>
          <w:rFonts w:eastAsia="Aptos" w:cs="Aptos"/>
          <w:color w:val="153D63"/>
        </w:rPr>
        <w:t xml:space="preserve"> – Návrh změny obsahuje popis navrhované úpravy, její odůvodnění, očekávané přínosy, případná rizika a návrh úprav v implementačním plánu.</w:t>
      </w:r>
    </w:p>
    <w:p w14:paraId="1091E18B" w14:textId="2BECBE65" w:rsidR="78B23115" w:rsidRDefault="78B23115" w:rsidP="5BF5182F">
      <w:pPr>
        <w:pStyle w:val="Odstavecseseznamem"/>
        <w:numPr>
          <w:ilvl w:val="2"/>
          <w:numId w:val="4"/>
        </w:numPr>
        <w:spacing w:after="0" w:line="240" w:lineRule="auto"/>
        <w:jc w:val="both"/>
        <w:rPr>
          <w:rFonts w:eastAsia="Aptos" w:cs="Aptos"/>
          <w:color w:val="153D63"/>
        </w:rPr>
      </w:pPr>
      <w:r w:rsidRPr="5BF5182F">
        <w:rPr>
          <w:rFonts w:eastAsia="Aptos" w:cs="Aptos"/>
          <w:b/>
          <w:bCs/>
          <w:color w:val="153D63"/>
        </w:rPr>
        <w:t>Schválení změny</w:t>
      </w:r>
      <w:r w:rsidRPr="5BF5182F">
        <w:rPr>
          <w:rFonts w:eastAsia="Aptos" w:cs="Aptos"/>
          <w:color w:val="153D63"/>
        </w:rPr>
        <w:t xml:space="preserve"> – Změnu schvaluje příslušná implementační struktura – zpravidla garant cíle nebo garant strategie, pokud se jedná o změnu s širším dopadem.</w:t>
      </w:r>
    </w:p>
    <w:p w14:paraId="15ED2D5E" w14:textId="2B4E1D23" w:rsidR="78B23115" w:rsidRDefault="78B23115" w:rsidP="5BF5182F">
      <w:pPr>
        <w:pStyle w:val="Odstavecseseznamem"/>
        <w:numPr>
          <w:ilvl w:val="2"/>
          <w:numId w:val="4"/>
        </w:numPr>
        <w:spacing w:after="0" w:line="240" w:lineRule="auto"/>
        <w:jc w:val="both"/>
        <w:rPr>
          <w:rFonts w:eastAsia="Aptos" w:cs="Aptos"/>
          <w:color w:val="153D63"/>
        </w:rPr>
      </w:pPr>
      <w:r w:rsidRPr="5BF5182F">
        <w:rPr>
          <w:rFonts w:eastAsia="Aptos" w:cs="Aptos"/>
          <w:b/>
          <w:bCs/>
          <w:color w:val="153D63"/>
        </w:rPr>
        <w:t>Realizace změny</w:t>
      </w:r>
      <w:r w:rsidRPr="5BF5182F">
        <w:rPr>
          <w:rFonts w:eastAsia="Aptos" w:cs="Aptos"/>
          <w:color w:val="153D63"/>
        </w:rPr>
        <w:t xml:space="preserve"> – Po schválení je změna zapracována do implementačního plánu, aktualizovány jsou harmonogramy, odpovědnosti, rozpočty a komunikační výstupy.</w:t>
      </w:r>
    </w:p>
    <w:p w14:paraId="1C65EE9A" w14:textId="6B45A3F0" w:rsidR="78B23115" w:rsidRDefault="78B23115" w:rsidP="5BF5182F">
      <w:pPr>
        <w:pStyle w:val="Odstavecseseznamem"/>
        <w:numPr>
          <w:ilvl w:val="2"/>
          <w:numId w:val="4"/>
        </w:numPr>
        <w:spacing w:after="0" w:line="240" w:lineRule="auto"/>
        <w:jc w:val="both"/>
        <w:rPr>
          <w:rFonts w:eastAsia="Aptos" w:cs="Aptos"/>
          <w:color w:val="153D63"/>
        </w:rPr>
      </w:pPr>
      <w:r w:rsidRPr="5BF5182F">
        <w:rPr>
          <w:rFonts w:eastAsia="Aptos" w:cs="Aptos"/>
          <w:b/>
          <w:bCs/>
          <w:color w:val="153D63"/>
        </w:rPr>
        <w:t>Sledování dopadů změny</w:t>
      </w:r>
      <w:r w:rsidRPr="5BF5182F">
        <w:rPr>
          <w:rFonts w:eastAsia="Aptos" w:cs="Aptos"/>
          <w:color w:val="153D63"/>
        </w:rPr>
        <w:t xml:space="preserve"> – Účinky provedené změny jsou sledovány v rámci pravidelného monitoringu a evaluace. V případě potřeby jsou navrženy další úpravy nebo kompenzační opatření.</w:t>
      </w:r>
    </w:p>
    <w:p w14:paraId="24D51028" w14:textId="3F8B2E32" w:rsidR="00D8608F" w:rsidRPr="00D8608F" w:rsidRDefault="2FA473A3" w:rsidP="00AF0805">
      <w:pPr>
        <w:pStyle w:val="Nadpis1"/>
      </w:pPr>
      <w:r>
        <w:lastRenderedPageBreak/>
        <w:t>Financování</w:t>
      </w:r>
    </w:p>
    <w:p w14:paraId="24C84507" w14:textId="060FB428" w:rsidR="6187A126" w:rsidRDefault="6187A126" w:rsidP="5BF5182F">
      <w:pPr>
        <w:jc w:val="both"/>
      </w:pPr>
      <w:r>
        <w:t xml:space="preserve">Finanční rámec implementačních plánů vychází z hrubých odhadů uvedených v NSVO, které slouží jako orientační východisko, nikoli definitivní rozpočtový závazek. Konkrétní rozpočty budou vždy sestavovány na úrovni jednotlivých </w:t>
      </w:r>
      <w:r w:rsidR="3DD2898E">
        <w:t>aktivit</w:t>
      </w:r>
      <w:r>
        <w:t xml:space="preserve"> v návaznosti na jejich technické a procesní řešení. Dopady na státní rozpočet budou řešeny v rámci schválených rozpočtových limitů </w:t>
      </w:r>
      <w:r w:rsidR="00644157">
        <w:t xml:space="preserve">                                         </w:t>
      </w:r>
      <w:r>
        <w:t>a střednědobých výhledů příslušných kapitol.</w:t>
      </w:r>
    </w:p>
    <w:p w14:paraId="13F9E51A" w14:textId="29E16E59" w:rsidR="6187A126" w:rsidRDefault="6187A126" w:rsidP="5BF5182F">
      <w:pPr>
        <w:jc w:val="both"/>
      </w:pPr>
      <w:r>
        <w:t xml:space="preserve">Současně platí, že významná část nákladů spojených s realizací opatření je již zahrnuta v jiných strategických a programových dokumentech (např. Zdraví 2030/2035, NSEZ), případně je kryta </w:t>
      </w:r>
      <w:r w:rsidR="00644157">
        <w:t xml:space="preserve">           </w:t>
      </w:r>
      <w:r>
        <w:t xml:space="preserve">z běžných provozních zdrojů dotčených institucí. Další opatření budou mít organizační nebo systémový charakter a nevyžadují samostatné investiční financování. V některých oblastech (např. výzkum, centralizace péče či rozvoj </w:t>
      </w:r>
      <w:r w:rsidR="0417F630">
        <w:t xml:space="preserve">datové </w:t>
      </w:r>
      <w:r>
        <w:t>infrastruktury) však bude nezbytné provést samostatné finanční posouzení a plánování.</w:t>
      </w:r>
    </w:p>
    <w:p w14:paraId="391EDFBB" w14:textId="5E7D0B01" w:rsidR="6187A126" w:rsidRDefault="6187A126" w:rsidP="5BF5182F">
      <w:pPr>
        <w:jc w:val="both"/>
      </w:pPr>
      <w:r>
        <w:t xml:space="preserve">Zásadním principem je, že přesnou výši nákladů nelze v době přípravy strategie ani implementačních plánů </w:t>
      </w:r>
      <w:r w:rsidR="60083A5F">
        <w:t>definitivně</w:t>
      </w:r>
      <w:r>
        <w:t xml:space="preserve"> </w:t>
      </w:r>
      <w:r w:rsidR="002803C5">
        <w:t xml:space="preserve">přesně </w:t>
      </w:r>
      <w:r>
        <w:t xml:space="preserve">určit, neboť závisí na konkrétní podobě </w:t>
      </w:r>
      <w:r w:rsidR="7BCB312C">
        <w:t>zvoleného</w:t>
      </w:r>
      <w:r>
        <w:t xml:space="preserve"> řešení. Financování implementace proto předpokládá kombinaci finančních a nefinančních zdrojů a bude průběžně upřesňováno.</w:t>
      </w:r>
    </w:p>
    <w:p w14:paraId="008B09BB" w14:textId="379B1485" w:rsidR="6187A126" w:rsidRDefault="6187A126" w:rsidP="5BF5182F">
      <w:pPr>
        <w:jc w:val="both"/>
      </w:pPr>
      <w:r>
        <w:t xml:space="preserve">Cílem není generovat nové náklady bez odpovídající přidané hodnoty, ale naopak zajistit efektivní a udržitelné využívání veřejných prostředků. </w:t>
      </w:r>
      <w:r w:rsidR="6ADC86D5">
        <w:t>Proces nastavení přesné výši nákladů bude</w:t>
      </w:r>
      <w:r>
        <w:t xml:space="preserve"> klást důraz na prevenci neefektivního vynakládání zdrojů, podporu synergických řešení</w:t>
      </w:r>
      <w:r w:rsidR="00644157">
        <w:t xml:space="preserve"> </w:t>
      </w:r>
      <w:r>
        <w:t>a koordinaci aktivit napříč sektory, s ohledem na specifika oblasti vzácných onemocnění.</w:t>
      </w:r>
    </w:p>
    <w:p w14:paraId="0FB788EA" w14:textId="291E1EF9" w:rsidR="4D1EBD25" w:rsidRDefault="4D1EBD25" w:rsidP="5BF5182F">
      <w:pPr>
        <w:jc w:val="both"/>
      </w:pPr>
      <w:r>
        <w:t>Z</w:t>
      </w:r>
      <w:r w:rsidR="5D36CA20">
        <w:t xml:space="preserve">ásadní překážkou pro stanovení definitivního finančního rámce v době vzniku </w:t>
      </w:r>
      <w:r w:rsidR="7202443F">
        <w:t>implementačních plánů</w:t>
      </w:r>
      <w:r w:rsidR="5D36CA20">
        <w:t xml:space="preserve"> je absence validních kvantitativních dat o populaci pacientů se vzácným onemocněním. Tato informační mezera vytváří přímou bariéru pro přesný výpočet dopadů do veřejných rozpočtů.</w:t>
      </w:r>
      <w:r w:rsidR="7F1952E2">
        <w:t xml:space="preserve"> </w:t>
      </w:r>
    </w:p>
    <w:p w14:paraId="2E20F3E2" w14:textId="1B725E02" w:rsidR="4B0C07F0" w:rsidRDefault="4B0C07F0" w:rsidP="5BF5182F">
      <w:pPr>
        <w:jc w:val="both"/>
      </w:pPr>
      <w:r>
        <w:t>Vzhledem k mezioborové</w:t>
      </w:r>
      <w:r w:rsidR="5EEB0D14">
        <w:t xml:space="preserve"> </w:t>
      </w:r>
      <w:r>
        <w:t xml:space="preserve">a meziresortní povaze jednotlivých opatření </w:t>
      </w:r>
      <w:r w:rsidR="4A2F5B91">
        <w:t>bude</w:t>
      </w:r>
      <w:r>
        <w:t xml:space="preserve"> nezbytné využívat široké spektrum dostupných finančních nástrojů, které umožní pokrýt jak systémové změny, tak</w:t>
      </w:r>
      <w:r w:rsidR="306A71CB">
        <w:t xml:space="preserve"> </w:t>
      </w:r>
      <w:r>
        <w:t xml:space="preserve">konkrétní intervence na národní, regionální i místní úrovni. </w:t>
      </w:r>
    </w:p>
    <w:p w14:paraId="14EBD3FF" w14:textId="7942D4BE" w:rsidR="5BF5182F" w:rsidRDefault="5BF5182F" w:rsidP="5BF5182F">
      <w:pPr>
        <w:jc w:val="both"/>
      </w:pPr>
    </w:p>
    <w:p w14:paraId="4CA5E811" w14:textId="29110210" w:rsidR="4B0C07F0" w:rsidRDefault="4B0C07F0" w:rsidP="5BF5182F">
      <w:pPr>
        <w:jc w:val="both"/>
        <w:rPr>
          <w:b/>
          <w:bCs/>
        </w:rPr>
      </w:pPr>
      <w:r w:rsidRPr="034C28CC">
        <w:rPr>
          <w:b/>
          <w:bCs/>
        </w:rPr>
        <w:t xml:space="preserve">Struktura zdrojů </w:t>
      </w:r>
    </w:p>
    <w:p w14:paraId="278A2771" w14:textId="271E2A49" w:rsidR="4B0C07F0" w:rsidRDefault="4B0C07F0" w:rsidP="5BF5182F">
      <w:r w:rsidRPr="5BF5182F">
        <w:rPr>
          <w:b/>
          <w:bCs/>
        </w:rPr>
        <w:t xml:space="preserve">Státní rozpočet </w:t>
      </w:r>
      <w:r>
        <w:t xml:space="preserve">– kapitola MZD a dalších resortních kapitol. </w:t>
      </w:r>
    </w:p>
    <w:p w14:paraId="1A93AF3A" w14:textId="726583A1" w:rsidR="4B0C07F0" w:rsidRDefault="4B0C07F0" w:rsidP="5BF5182F">
      <w:r w:rsidRPr="5BF5182F">
        <w:rPr>
          <w:b/>
          <w:bCs/>
        </w:rPr>
        <w:t xml:space="preserve">Evropské fondy </w:t>
      </w:r>
      <w:r>
        <w:t xml:space="preserve">– využívány pro podporu systémových změn, pilotních projektů a investičních programů.  </w:t>
      </w:r>
    </w:p>
    <w:p w14:paraId="12D91119" w14:textId="6EF15637" w:rsidR="4B0C07F0" w:rsidRDefault="4B0C07F0" w:rsidP="5BF5182F">
      <w:r w:rsidRPr="5BF5182F">
        <w:rPr>
          <w:b/>
          <w:bCs/>
        </w:rPr>
        <w:t>Veřejné zdravotní pojištění</w:t>
      </w:r>
      <w:r>
        <w:t xml:space="preserve"> – zajišťuje úhradu zdravotních služeb. </w:t>
      </w:r>
    </w:p>
    <w:p w14:paraId="38DA0069" w14:textId="6AE56E9A" w:rsidR="4B0C07F0" w:rsidRDefault="4B0C07F0" w:rsidP="5BF5182F">
      <w:r w:rsidRPr="5BF5182F">
        <w:rPr>
          <w:b/>
          <w:bCs/>
        </w:rPr>
        <w:t>Krajské a obecní rozpočty</w:t>
      </w:r>
      <w:r>
        <w:t xml:space="preserve"> – slouží k financování regionálních modelů a kofinancování projektů dle specifických potřeb jednotlivých krajů.  </w:t>
      </w:r>
    </w:p>
    <w:p w14:paraId="0256C135" w14:textId="0569854F" w:rsidR="4B0C07F0" w:rsidRDefault="4B0C07F0" w:rsidP="5BF5182F">
      <w:r w:rsidRPr="5BF5182F">
        <w:rPr>
          <w:b/>
          <w:bCs/>
        </w:rPr>
        <w:t>Fondy EHP a švýcarsko-české spolupráce</w:t>
      </w:r>
      <w:r>
        <w:t xml:space="preserve"> – doplňkový zdroj pro vybrané tematické oblasti, zejména v oblasti inovací a zvyšování dostupnosti péče. </w:t>
      </w:r>
    </w:p>
    <w:p w14:paraId="12A90792" w14:textId="1888C174" w:rsidR="4B0C07F0" w:rsidRDefault="4B0C07F0" w:rsidP="5BF5182F">
      <w:r w:rsidRPr="5BF5182F">
        <w:rPr>
          <w:b/>
          <w:bCs/>
        </w:rPr>
        <w:t>Dotační nástroje MZD</w:t>
      </w:r>
      <w:r>
        <w:t xml:space="preserve"> – pravidelné i účelové dotační programy. </w:t>
      </w:r>
    </w:p>
    <w:p w14:paraId="1B59904C" w14:textId="1B30C593" w:rsidR="4B0C07F0" w:rsidRDefault="4B0C07F0" w:rsidP="5BF5182F">
      <w:r w:rsidRPr="5BF5182F">
        <w:rPr>
          <w:b/>
          <w:bCs/>
        </w:rPr>
        <w:t>Ostatní</w:t>
      </w:r>
      <w:r w:rsidR="0FC193A4" w:rsidRPr="5BF5182F">
        <w:rPr>
          <w:b/>
          <w:bCs/>
        </w:rPr>
        <w:t xml:space="preserve"> </w:t>
      </w:r>
      <w:r w:rsidRPr="5BF5182F">
        <w:rPr>
          <w:b/>
          <w:bCs/>
        </w:rPr>
        <w:t>zdroje</w:t>
      </w:r>
      <w:r>
        <w:t xml:space="preserve"> – zahrnují</w:t>
      </w:r>
      <w:r w:rsidR="5543476A">
        <w:t xml:space="preserve"> </w:t>
      </w:r>
      <w:r>
        <w:t>příspěvky, vlastní zdroje poskytovatelů</w:t>
      </w:r>
      <w:r w:rsidR="69579F6A">
        <w:t xml:space="preserve"> zdravotní a sociální péče, vzdělávacích institucí, </w:t>
      </w:r>
      <w:r>
        <w:t>nestátní neziskové organizace a další specifické zdroje.</w:t>
      </w:r>
    </w:p>
    <w:p w14:paraId="42E944A0" w14:textId="6CEAACCE" w:rsidR="5BF5182F" w:rsidRDefault="5BF5182F" w:rsidP="5BF5182F">
      <w:pPr>
        <w:jc w:val="both"/>
      </w:pPr>
    </w:p>
    <w:p w14:paraId="0B1E4C8D" w14:textId="5671BB31" w:rsidR="00D8608F" w:rsidRPr="00D8608F" w:rsidRDefault="2FA473A3" w:rsidP="00AF0805">
      <w:pPr>
        <w:pStyle w:val="Nadpis1"/>
      </w:pPr>
      <w:r>
        <w:t>Komunikační rámec</w:t>
      </w:r>
    </w:p>
    <w:p w14:paraId="335308BA" w14:textId="6F19F0BF" w:rsidR="003D3C6C" w:rsidRPr="003D3C6C" w:rsidRDefault="51E70FDB" w:rsidP="5BF5182F">
      <w:pPr>
        <w:pStyle w:val="Normlnweb"/>
        <w:jc w:val="both"/>
        <w:rPr>
          <w:rFonts w:ascii="Aptos" w:eastAsiaTheme="minorEastAsia" w:hAnsi="Aptos" w:cstheme="minorBidi"/>
          <w:color w:val="002060"/>
          <w:kern w:val="2"/>
          <w:sz w:val="22"/>
          <w:szCs w:val="22"/>
          <w:lang w:eastAsia="en-US"/>
          <w14:ligatures w14:val="standardContextual"/>
        </w:rPr>
      </w:pPr>
      <w:r w:rsidRPr="5BF5182F">
        <w:rPr>
          <w:rFonts w:ascii="Aptos" w:eastAsiaTheme="minorEastAsia" w:hAnsi="Aptos" w:cstheme="minorBidi"/>
          <w:color w:val="002060"/>
          <w:kern w:val="2"/>
          <w:sz w:val="22"/>
          <w:szCs w:val="22"/>
          <w:lang w:eastAsia="en-US"/>
          <w14:ligatures w14:val="standardContextual"/>
        </w:rPr>
        <w:t xml:space="preserve">Komunikační rámec implementace </w:t>
      </w:r>
      <w:r w:rsidR="39523D90" w:rsidRPr="5BF5182F">
        <w:rPr>
          <w:rFonts w:ascii="Aptos" w:eastAsiaTheme="minorEastAsia" w:hAnsi="Aptos" w:cstheme="minorBidi"/>
          <w:color w:val="002060"/>
          <w:kern w:val="2"/>
          <w:sz w:val="22"/>
          <w:szCs w:val="22"/>
          <w:lang w:eastAsia="en-US"/>
          <w14:ligatures w14:val="standardContextual"/>
        </w:rPr>
        <w:t>NSVO</w:t>
      </w:r>
      <w:r w:rsidRPr="5BF5182F">
        <w:rPr>
          <w:rFonts w:ascii="Aptos" w:eastAsiaTheme="minorEastAsia" w:hAnsi="Aptos" w:cstheme="minorBidi"/>
          <w:color w:val="002060"/>
          <w:kern w:val="2"/>
          <w:sz w:val="22"/>
          <w:szCs w:val="22"/>
          <w:lang w:eastAsia="en-US"/>
          <w14:ligatures w14:val="standardContextual"/>
        </w:rPr>
        <w:t xml:space="preserve"> vychází z</w:t>
      </w:r>
      <w:r w:rsidR="3FA0EA29" w:rsidRPr="5BF5182F">
        <w:rPr>
          <w:rFonts w:ascii="Aptos" w:eastAsiaTheme="minorEastAsia" w:hAnsi="Aptos" w:cstheme="minorBidi"/>
          <w:color w:val="002060"/>
          <w:kern w:val="2"/>
          <w:sz w:val="22"/>
          <w:szCs w:val="22"/>
          <w:lang w:eastAsia="en-US"/>
          <w14:ligatures w14:val="standardContextual"/>
        </w:rPr>
        <w:t> </w:t>
      </w:r>
      <w:r w:rsidRPr="5BF5182F">
        <w:rPr>
          <w:rFonts w:ascii="Aptos" w:eastAsiaTheme="minorEastAsia" w:hAnsi="Aptos" w:cstheme="minorBidi"/>
          <w:color w:val="002060"/>
          <w:kern w:val="2"/>
          <w:sz w:val="22"/>
          <w:szCs w:val="22"/>
          <w:lang w:eastAsia="en-US"/>
          <w14:ligatures w14:val="standardContextual"/>
        </w:rPr>
        <w:t>komunikační</w:t>
      </w:r>
      <w:r w:rsidR="3FA0EA29" w:rsidRPr="5BF5182F">
        <w:rPr>
          <w:rFonts w:ascii="Aptos" w:eastAsiaTheme="minorEastAsia" w:hAnsi="Aptos" w:cstheme="minorBidi"/>
          <w:color w:val="002060"/>
          <w:kern w:val="2"/>
          <w:sz w:val="22"/>
          <w:szCs w:val="22"/>
          <w:lang w:eastAsia="en-US"/>
          <w14:ligatures w14:val="standardContextual"/>
        </w:rPr>
        <w:t xml:space="preserve">ho rámce </w:t>
      </w:r>
      <w:r w:rsidRPr="5BF5182F">
        <w:rPr>
          <w:rFonts w:ascii="Aptos" w:eastAsiaTheme="minorEastAsia" w:hAnsi="Aptos" w:cstheme="minorBidi"/>
          <w:color w:val="002060"/>
          <w:kern w:val="2"/>
          <w:sz w:val="22"/>
          <w:szCs w:val="22"/>
          <w:lang w:eastAsia="en-US"/>
          <w14:ligatures w14:val="standardContextual"/>
        </w:rPr>
        <w:t>NSVO a je zaměřen na podporu informovanosti o cílech, opatřeních a přínosech realizace jednotlivých strategických cílů. Cílem komunikace je zajistit srozumitelné, jednotné a transparentní sdělení</w:t>
      </w:r>
      <w:r w:rsidR="00644157">
        <w:rPr>
          <w:rFonts w:ascii="Aptos" w:eastAsiaTheme="minorEastAsia" w:hAnsi="Aptos" w:cstheme="minorBidi"/>
          <w:color w:val="002060"/>
          <w:kern w:val="2"/>
          <w:sz w:val="22"/>
          <w:szCs w:val="22"/>
          <w:lang w:eastAsia="en-US"/>
          <w14:ligatures w14:val="standardContextual"/>
        </w:rPr>
        <w:t xml:space="preserve"> </w:t>
      </w:r>
      <w:r w:rsidRPr="5BF5182F">
        <w:rPr>
          <w:rFonts w:ascii="Aptos" w:eastAsiaTheme="minorEastAsia" w:hAnsi="Aptos" w:cstheme="minorBidi"/>
          <w:color w:val="002060"/>
          <w:kern w:val="2"/>
          <w:sz w:val="22"/>
          <w:szCs w:val="22"/>
          <w:lang w:eastAsia="en-US"/>
          <w14:ligatures w14:val="standardContextual"/>
        </w:rPr>
        <w:t xml:space="preserve">o průběhu implementace, podpořit spolupráci mezi zapojenými subjekty a </w:t>
      </w:r>
      <w:r w:rsidR="00644157" w:rsidRPr="5BF5182F">
        <w:rPr>
          <w:rFonts w:ascii="Aptos" w:eastAsiaTheme="minorEastAsia" w:hAnsi="Aptos" w:cstheme="minorBidi"/>
          <w:color w:val="002060"/>
          <w:kern w:val="2"/>
          <w:sz w:val="22"/>
          <w:szCs w:val="22"/>
          <w:lang w:eastAsia="en-US"/>
          <w14:ligatures w14:val="standardContextual"/>
        </w:rPr>
        <w:t>přispět</w:t>
      </w:r>
      <w:r w:rsidR="00644157">
        <w:rPr>
          <w:rFonts w:ascii="Aptos" w:eastAsiaTheme="minorEastAsia" w:hAnsi="Aptos" w:cstheme="minorBidi"/>
          <w:color w:val="002060"/>
          <w:kern w:val="2"/>
          <w:sz w:val="22"/>
          <w:szCs w:val="22"/>
          <w:lang w:eastAsia="en-US"/>
          <w14:ligatures w14:val="standardContextual"/>
        </w:rPr>
        <w:t xml:space="preserve"> k</w:t>
      </w:r>
      <w:r w:rsidRPr="5BF5182F">
        <w:rPr>
          <w:rFonts w:ascii="Aptos" w:eastAsiaTheme="minorEastAsia" w:hAnsi="Aptos" w:cstheme="minorBidi"/>
          <w:color w:val="002060"/>
          <w:kern w:val="2"/>
          <w:sz w:val="22"/>
          <w:szCs w:val="22"/>
          <w:lang w:eastAsia="en-US"/>
          <w14:ligatures w14:val="standardContextual"/>
        </w:rPr>
        <w:t xml:space="preserve"> postupnému přijetí zaváděných změn odbornou i širší veřejností.</w:t>
      </w:r>
    </w:p>
    <w:p w14:paraId="301AB492" w14:textId="142CEA5E" w:rsidR="003D3C6C" w:rsidRPr="003D3C6C" w:rsidRDefault="51E70FDB" w:rsidP="5BF5182F">
      <w:pPr>
        <w:pStyle w:val="Normlnweb"/>
        <w:jc w:val="both"/>
        <w:rPr>
          <w:rFonts w:ascii="Aptos" w:eastAsiaTheme="minorEastAsia" w:hAnsi="Aptos" w:cstheme="minorBidi"/>
          <w:color w:val="002060"/>
          <w:sz w:val="22"/>
          <w:szCs w:val="22"/>
          <w:lang w:eastAsia="en-US"/>
        </w:rPr>
      </w:pPr>
      <w:r w:rsidRPr="5BF5182F">
        <w:rPr>
          <w:rFonts w:ascii="Aptos" w:eastAsiaTheme="minorEastAsia" w:hAnsi="Aptos" w:cstheme="minorBidi"/>
          <w:color w:val="002060"/>
          <w:kern w:val="2"/>
          <w:sz w:val="22"/>
          <w:szCs w:val="22"/>
          <w:lang w:eastAsia="en-US"/>
          <w14:ligatures w14:val="standardContextual"/>
        </w:rPr>
        <w:t xml:space="preserve">Komunikační </w:t>
      </w:r>
      <w:r w:rsidR="18FACDC2" w:rsidRPr="5BF5182F">
        <w:rPr>
          <w:rFonts w:ascii="Aptos" w:eastAsiaTheme="minorEastAsia" w:hAnsi="Aptos" w:cstheme="minorBidi"/>
          <w:color w:val="002060"/>
          <w:kern w:val="2"/>
          <w:sz w:val="22"/>
          <w:szCs w:val="22"/>
          <w:lang w:eastAsia="en-US"/>
          <w14:ligatures w14:val="standardContextual"/>
        </w:rPr>
        <w:t>rámec</w:t>
      </w:r>
      <w:r w:rsidRPr="5BF5182F">
        <w:rPr>
          <w:rFonts w:ascii="Aptos" w:eastAsiaTheme="minorEastAsia" w:hAnsi="Aptos" w:cstheme="minorBidi"/>
          <w:color w:val="002060"/>
          <w:kern w:val="2"/>
          <w:sz w:val="22"/>
          <w:szCs w:val="22"/>
          <w:lang w:eastAsia="en-US"/>
          <w14:ligatures w14:val="standardContextual"/>
        </w:rPr>
        <w:t xml:space="preserve"> stanovuje základní rámec komunikace mezi dotčenými subjekty</w:t>
      </w:r>
      <w:r w:rsidR="32B554D5" w:rsidRPr="5BF5182F">
        <w:rPr>
          <w:rFonts w:ascii="Aptos" w:eastAsiaTheme="minorEastAsia" w:hAnsi="Aptos" w:cstheme="minorBidi"/>
          <w:color w:val="002060"/>
          <w:kern w:val="2"/>
          <w:sz w:val="22"/>
          <w:szCs w:val="22"/>
          <w:lang w:eastAsia="en-US"/>
          <w14:ligatures w14:val="standardContextual"/>
        </w:rPr>
        <w:t xml:space="preserve">                      </w:t>
      </w:r>
      <w:r w:rsidR="00644157">
        <w:rPr>
          <w:rFonts w:ascii="Aptos" w:eastAsiaTheme="minorEastAsia" w:hAnsi="Aptos" w:cstheme="minorBidi"/>
          <w:color w:val="002060"/>
          <w:kern w:val="2"/>
          <w:sz w:val="22"/>
          <w:szCs w:val="22"/>
          <w:lang w:eastAsia="en-US"/>
          <w14:ligatures w14:val="standardContextual"/>
        </w:rPr>
        <w:t xml:space="preserve">            </w:t>
      </w:r>
      <w:r w:rsidR="32B554D5" w:rsidRPr="5BF5182F">
        <w:rPr>
          <w:rFonts w:ascii="Aptos" w:eastAsiaTheme="minorEastAsia" w:hAnsi="Aptos" w:cstheme="minorBidi"/>
          <w:color w:val="002060"/>
          <w:kern w:val="2"/>
          <w:sz w:val="22"/>
          <w:szCs w:val="22"/>
          <w:lang w:eastAsia="en-US"/>
          <w14:ligatures w14:val="standardContextual"/>
        </w:rPr>
        <w:t xml:space="preserve">  </w:t>
      </w:r>
      <w:r w:rsidRPr="5BF5182F">
        <w:rPr>
          <w:rFonts w:ascii="Aptos" w:eastAsiaTheme="minorEastAsia" w:hAnsi="Aptos" w:cstheme="minorBidi"/>
          <w:color w:val="002060"/>
          <w:kern w:val="2"/>
          <w:sz w:val="22"/>
          <w:szCs w:val="22"/>
          <w:lang w:eastAsia="en-US"/>
          <w14:ligatures w14:val="standardContextual"/>
        </w:rPr>
        <w:t>a současně slouží k informování odborné i laické veřejnosti o průběhu realizace NSVO</w:t>
      </w:r>
      <w:r w:rsidR="0E701783" w:rsidRPr="5BF5182F">
        <w:rPr>
          <w:rFonts w:ascii="Aptos" w:eastAsiaTheme="minorEastAsia" w:hAnsi="Aptos" w:cstheme="minorBidi"/>
          <w:color w:val="002060"/>
          <w:kern w:val="2"/>
          <w:sz w:val="22"/>
          <w:szCs w:val="22"/>
          <w:lang w:eastAsia="en-US"/>
          <w14:ligatures w14:val="standardContextual"/>
        </w:rPr>
        <w:t xml:space="preserve">                      </w:t>
      </w:r>
      <w:r w:rsidR="00644157">
        <w:rPr>
          <w:rFonts w:ascii="Aptos" w:eastAsiaTheme="minorEastAsia" w:hAnsi="Aptos" w:cstheme="minorBidi"/>
          <w:color w:val="002060"/>
          <w:kern w:val="2"/>
          <w:sz w:val="22"/>
          <w:szCs w:val="22"/>
          <w:lang w:eastAsia="en-US"/>
          <w14:ligatures w14:val="standardContextual"/>
        </w:rPr>
        <w:t xml:space="preserve">           </w:t>
      </w:r>
      <w:r w:rsidRPr="5BF5182F">
        <w:rPr>
          <w:rFonts w:ascii="Aptos" w:eastAsiaTheme="minorEastAsia" w:hAnsi="Aptos" w:cstheme="minorBidi"/>
          <w:color w:val="002060"/>
          <w:kern w:val="2"/>
          <w:sz w:val="22"/>
          <w:szCs w:val="22"/>
          <w:lang w:eastAsia="en-US"/>
          <w14:ligatures w14:val="standardContextual"/>
        </w:rPr>
        <w:t>a jednotlivých implementačních plánů. Komunikace je průběžně přizpůsobována fázi implementace, přičemž jsou vždy vymezeny prioritní cílové skupiny, hlavní sdělení a vhodné komunikační nástroje. Aktualizace komunikačního plánu probíhá v návaznosti na pravidelné zprávy o průběhu realizace strategie a jednotlivých implementačních období.</w:t>
      </w:r>
    </w:p>
    <w:tbl>
      <w:tblPr>
        <w:tblW w:w="0" w:type="auto"/>
        <w:tblBorders>
          <w:top w:val="none" w:sz="12" w:space="0" w:color="000000" w:themeColor="text1"/>
          <w:left w:val="none" w:sz="12" w:space="0" w:color="000000" w:themeColor="text1"/>
          <w:bottom w:val="none" w:sz="12" w:space="0" w:color="000000" w:themeColor="text1"/>
          <w:right w:val="none" w:sz="12" w:space="0" w:color="000000" w:themeColor="text1"/>
          <w:insideH w:val="single" w:sz="12" w:space="0" w:color="000000" w:themeColor="text1"/>
          <w:insideV w:val="single" w:sz="12" w:space="0" w:color="000000" w:themeColor="text1"/>
        </w:tblBorders>
        <w:tblLook w:val="04A0" w:firstRow="1" w:lastRow="0" w:firstColumn="1" w:lastColumn="0" w:noHBand="0" w:noVBand="1"/>
      </w:tblPr>
      <w:tblGrid>
        <w:gridCol w:w="1815"/>
        <w:gridCol w:w="2055"/>
        <w:gridCol w:w="2520"/>
        <w:gridCol w:w="2655"/>
      </w:tblGrid>
      <w:tr w:rsidR="5BF5182F" w14:paraId="2CA2604A" w14:textId="77777777" w:rsidTr="78C5DBBA">
        <w:trPr>
          <w:trHeight w:val="300"/>
        </w:trPr>
        <w:tc>
          <w:tcPr>
            <w:tcW w:w="1815" w:type="dxa"/>
            <w:tcMar>
              <w:top w:w="75" w:type="dxa"/>
              <w:left w:w="75" w:type="dxa"/>
              <w:bottom w:w="75" w:type="dxa"/>
              <w:right w:w="75" w:type="dxa"/>
            </w:tcMar>
            <w:vAlign w:val="center"/>
          </w:tcPr>
          <w:p w14:paraId="1B672D03" w14:textId="5752CF08" w:rsidR="5BF5182F" w:rsidRDefault="62D8B8CC" w:rsidP="78C5DBBA">
            <w:pPr>
              <w:jc w:val="center"/>
              <w:rPr>
                <w:rFonts w:eastAsia="Aptos" w:cs="Aptos"/>
                <w:color w:val="153D63"/>
                <w:sz w:val="24"/>
                <w:szCs w:val="24"/>
              </w:rPr>
            </w:pPr>
            <w:r w:rsidRPr="78C5DBBA">
              <w:rPr>
                <w:rFonts w:eastAsia="Aptos" w:cs="Aptos"/>
                <w:b/>
                <w:bCs/>
                <w:color w:val="153D63"/>
                <w:sz w:val="24"/>
                <w:szCs w:val="24"/>
              </w:rPr>
              <w:t>Cílová skupina</w:t>
            </w:r>
          </w:p>
        </w:tc>
        <w:tc>
          <w:tcPr>
            <w:tcW w:w="2055" w:type="dxa"/>
            <w:tcMar>
              <w:top w:w="75" w:type="dxa"/>
              <w:left w:w="75" w:type="dxa"/>
              <w:bottom w:w="75" w:type="dxa"/>
              <w:right w:w="75" w:type="dxa"/>
            </w:tcMar>
            <w:vAlign w:val="center"/>
          </w:tcPr>
          <w:p w14:paraId="09E42219" w14:textId="09BC8B22" w:rsidR="5BF5182F" w:rsidRDefault="62D8B8CC" w:rsidP="78C5DBBA">
            <w:pPr>
              <w:jc w:val="center"/>
              <w:rPr>
                <w:rFonts w:eastAsia="Aptos" w:cs="Aptos"/>
                <w:color w:val="153D63"/>
                <w:sz w:val="24"/>
                <w:szCs w:val="24"/>
              </w:rPr>
            </w:pPr>
            <w:r w:rsidRPr="78C5DBBA">
              <w:rPr>
                <w:rFonts w:eastAsia="Aptos" w:cs="Aptos"/>
                <w:b/>
                <w:bCs/>
                <w:color w:val="153D63"/>
                <w:sz w:val="24"/>
                <w:szCs w:val="24"/>
              </w:rPr>
              <w:t>Strategie</w:t>
            </w:r>
          </w:p>
        </w:tc>
        <w:tc>
          <w:tcPr>
            <w:tcW w:w="2520" w:type="dxa"/>
            <w:tcMar>
              <w:top w:w="75" w:type="dxa"/>
              <w:left w:w="75" w:type="dxa"/>
              <w:bottom w:w="75" w:type="dxa"/>
              <w:right w:w="75" w:type="dxa"/>
            </w:tcMar>
            <w:vAlign w:val="center"/>
          </w:tcPr>
          <w:p w14:paraId="2E3C9F29" w14:textId="34AA8256" w:rsidR="5BF5182F" w:rsidRDefault="62D8B8CC" w:rsidP="78C5DBBA">
            <w:pPr>
              <w:jc w:val="center"/>
              <w:rPr>
                <w:rFonts w:eastAsia="Aptos" w:cs="Aptos"/>
                <w:color w:val="153D63"/>
                <w:sz w:val="24"/>
                <w:szCs w:val="24"/>
              </w:rPr>
            </w:pPr>
            <w:r w:rsidRPr="78C5DBBA">
              <w:rPr>
                <w:rFonts w:eastAsia="Aptos" w:cs="Aptos"/>
                <w:b/>
                <w:bCs/>
                <w:color w:val="153D63"/>
                <w:sz w:val="24"/>
                <w:szCs w:val="24"/>
              </w:rPr>
              <w:t>Přínosy</w:t>
            </w:r>
          </w:p>
        </w:tc>
        <w:tc>
          <w:tcPr>
            <w:tcW w:w="2655" w:type="dxa"/>
            <w:tcMar>
              <w:top w:w="75" w:type="dxa"/>
              <w:left w:w="75" w:type="dxa"/>
              <w:bottom w:w="75" w:type="dxa"/>
              <w:right w:w="75" w:type="dxa"/>
            </w:tcMar>
            <w:vAlign w:val="center"/>
          </w:tcPr>
          <w:p w14:paraId="406221C0" w14:textId="4CE613D2" w:rsidR="5BF5182F" w:rsidRDefault="62D8B8CC" w:rsidP="78C5DBBA">
            <w:pPr>
              <w:jc w:val="center"/>
              <w:rPr>
                <w:rFonts w:eastAsia="Aptos" w:cs="Aptos"/>
                <w:color w:val="153D63"/>
                <w:sz w:val="24"/>
                <w:szCs w:val="24"/>
              </w:rPr>
            </w:pPr>
            <w:r w:rsidRPr="78C5DBBA">
              <w:rPr>
                <w:rFonts w:eastAsia="Aptos" w:cs="Aptos"/>
                <w:b/>
                <w:bCs/>
                <w:color w:val="153D63"/>
                <w:sz w:val="24"/>
                <w:szCs w:val="24"/>
              </w:rPr>
              <w:t>Cíl sdělení</w:t>
            </w:r>
          </w:p>
        </w:tc>
      </w:tr>
      <w:tr w:rsidR="5BF5182F" w14:paraId="157CC18A" w14:textId="77777777" w:rsidTr="78C5DBBA">
        <w:trPr>
          <w:trHeight w:val="300"/>
        </w:trPr>
        <w:tc>
          <w:tcPr>
            <w:tcW w:w="1815" w:type="dxa"/>
            <w:tcMar>
              <w:top w:w="75" w:type="dxa"/>
              <w:left w:w="75" w:type="dxa"/>
              <w:bottom w:w="75" w:type="dxa"/>
              <w:right w:w="75" w:type="dxa"/>
            </w:tcMar>
            <w:vAlign w:val="center"/>
          </w:tcPr>
          <w:p w14:paraId="35C6E1F7" w14:textId="33EDCE8F" w:rsidR="5BF5182F" w:rsidRDefault="5BF5182F" w:rsidP="5BF5182F">
            <w:pPr>
              <w:rPr>
                <w:rFonts w:eastAsia="Aptos" w:cs="Aptos"/>
                <w:color w:val="153D63"/>
              </w:rPr>
            </w:pPr>
            <w:r w:rsidRPr="5BF5182F">
              <w:rPr>
                <w:rFonts w:eastAsia="Aptos" w:cs="Aptos"/>
                <w:color w:val="153D63"/>
              </w:rPr>
              <w:t>Pacienti a jejich blízké osoby</w:t>
            </w:r>
          </w:p>
        </w:tc>
        <w:tc>
          <w:tcPr>
            <w:tcW w:w="2055" w:type="dxa"/>
            <w:tcMar>
              <w:top w:w="75" w:type="dxa"/>
              <w:left w:w="75" w:type="dxa"/>
              <w:bottom w:w="75" w:type="dxa"/>
              <w:right w:w="75" w:type="dxa"/>
            </w:tcMar>
            <w:vAlign w:val="center"/>
          </w:tcPr>
          <w:p w14:paraId="6A5F2A45" w14:textId="69163CBA" w:rsidR="5BF5182F" w:rsidRDefault="5BF5182F" w:rsidP="5BF5182F">
            <w:pPr>
              <w:rPr>
                <w:rFonts w:eastAsia="Aptos" w:cs="Aptos"/>
                <w:color w:val="153D63"/>
              </w:rPr>
            </w:pPr>
            <w:r w:rsidRPr="5BF5182F">
              <w:rPr>
                <w:rFonts w:eastAsia="Aptos" w:cs="Aptos"/>
                <w:color w:val="153D63"/>
              </w:rPr>
              <w:t>Srozumitelně vysvětlit, co strategie řeší a proč je důležitá</w:t>
            </w:r>
          </w:p>
        </w:tc>
        <w:tc>
          <w:tcPr>
            <w:tcW w:w="2520" w:type="dxa"/>
            <w:tcMar>
              <w:top w:w="75" w:type="dxa"/>
              <w:left w:w="75" w:type="dxa"/>
              <w:bottom w:w="75" w:type="dxa"/>
              <w:right w:w="75" w:type="dxa"/>
            </w:tcMar>
            <w:vAlign w:val="center"/>
          </w:tcPr>
          <w:p w14:paraId="147136DF" w14:textId="52DC4826" w:rsidR="5BF5182F" w:rsidRDefault="5BF5182F" w:rsidP="5BF5182F">
            <w:pPr>
              <w:rPr>
                <w:rFonts w:eastAsia="Aptos" w:cs="Aptos"/>
                <w:color w:val="153D63"/>
              </w:rPr>
            </w:pPr>
            <w:r w:rsidRPr="5BF5182F">
              <w:rPr>
                <w:rFonts w:eastAsia="Aptos" w:cs="Aptos"/>
                <w:color w:val="153D63"/>
              </w:rPr>
              <w:t>Zlepšení dostupnosti péče, informovanosti, podpory, zkrácení diagnostické doby, respekt k individuálním potřebám</w:t>
            </w:r>
          </w:p>
        </w:tc>
        <w:tc>
          <w:tcPr>
            <w:tcW w:w="2655" w:type="dxa"/>
            <w:tcMar>
              <w:top w:w="75" w:type="dxa"/>
              <w:left w:w="75" w:type="dxa"/>
              <w:bottom w:w="75" w:type="dxa"/>
              <w:right w:w="75" w:type="dxa"/>
            </w:tcMar>
            <w:vAlign w:val="center"/>
          </w:tcPr>
          <w:p w14:paraId="6090D5EB" w14:textId="6A28A699" w:rsidR="5BF5182F" w:rsidRDefault="5BF5182F" w:rsidP="5BF5182F">
            <w:pPr>
              <w:rPr>
                <w:rFonts w:eastAsia="Aptos" w:cs="Aptos"/>
                <w:color w:val="153D63"/>
              </w:rPr>
            </w:pPr>
            <w:r w:rsidRPr="5BF5182F">
              <w:rPr>
                <w:rFonts w:eastAsia="Aptos" w:cs="Aptos"/>
                <w:color w:val="153D63"/>
              </w:rPr>
              <w:t>Zvýšení informovanosti, důvěry a aktivní účasti pacientů; snížení psychické a organizační zátěže</w:t>
            </w:r>
          </w:p>
        </w:tc>
      </w:tr>
      <w:tr w:rsidR="5BF5182F" w14:paraId="2F37F38B" w14:textId="77777777" w:rsidTr="78C5DBBA">
        <w:trPr>
          <w:trHeight w:val="300"/>
        </w:trPr>
        <w:tc>
          <w:tcPr>
            <w:tcW w:w="1815" w:type="dxa"/>
            <w:tcMar>
              <w:top w:w="75" w:type="dxa"/>
              <w:left w:w="75" w:type="dxa"/>
              <w:bottom w:w="75" w:type="dxa"/>
              <w:right w:w="75" w:type="dxa"/>
            </w:tcMar>
            <w:vAlign w:val="center"/>
          </w:tcPr>
          <w:p w14:paraId="507BB04A" w14:textId="6AE43AC7" w:rsidR="5BF5182F" w:rsidRDefault="5BF5182F" w:rsidP="5BF5182F">
            <w:pPr>
              <w:rPr>
                <w:rFonts w:eastAsia="Aptos" w:cs="Aptos"/>
                <w:color w:val="153D63"/>
              </w:rPr>
            </w:pPr>
            <w:r w:rsidRPr="5BF5182F">
              <w:rPr>
                <w:rFonts w:eastAsia="Aptos" w:cs="Aptos"/>
                <w:color w:val="153D63"/>
              </w:rPr>
              <w:t>Pacientské organizace a neziskový sektor</w:t>
            </w:r>
          </w:p>
        </w:tc>
        <w:tc>
          <w:tcPr>
            <w:tcW w:w="2055" w:type="dxa"/>
            <w:tcMar>
              <w:top w:w="75" w:type="dxa"/>
              <w:left w:w="75" w:type="dxa"/>
              <w:bottom w:w="75" w:type="dxa"/>
              <w:right w:w="75" w:type="dxa"/>
            </w:tcMar>
            <w:vAlign w:val="center"/>
          </w:tcPr>
          <w:p w14:paraId="33413E89" w14:textId="24CB5618" w:rsidR="5BF5182F" w:rsidRDefault="5BF5182F" w:rsidP="5BF5182F">
            <w:pPr>
              <w:rPr>
                <w:rFonts w:eastAsia="Aptos" w:cs="Aptos"/>
                <w:color w:val="153D63"/>
              </w:rPr>
            </w:pPr>
            <w:r w:rsidRPr="5BF5182F">
              <w:rPr>
                <w:rFonts w:eastAsia="Aptos" w:cs="Aptos"/>
                <w:color w:val="153D63"/>
              </w:rPr>
              <w:t>Ukotvení participace v systému péče, zapojení do implementace strategie</w:t>
            </w:r>
          </w:p>
        </w:tc>
        <w:tc>
          <w:tcPr>
            <w:tcW w:w="2520" w:type="dxa"/>
            <w:tcMar>
              <w:top w:w="75" w:type="dxa"/>
              <w:left w:w="75" w:type="dxa"/>
              <w:bottom w:w="75" w:type="dxa"/>
              <w:right w:w="75" w:type="dxa"/>
            </w:tcMar>
            <w:vAlign w:val="center"/>
          </w:tcPr>
          <w:p w14:paraId="6C35F1B7" w14:textId="03C4D330" w:rsidR="5BF5182F" w:rsidRDefault="5BF5182F" w:rsidP="5BF5182F">
            <w:pPr>
              <w:rPr>
                <w:rFonts w:eastAsia="Aptos" w:cs="Aptos"/>
                <w:color w:val="153D63"/>
              </w:rPr>
            </w:pPr>
            <w:r w:rsidRPr="5BF5182F">
              <w:rPr>
                <w:rFonts w:eastAsia="Aptos" w:cs="Aptos"/>
                <w:color w:val="153D63"/>
              </w:rPr>
              <w:t>Posílení hlasu pacientů, spolupráce s odborníky, přístup k datům, spoluvytváření informačních materiálů</w:t>
            </w:r>
          </w:p>
        </w:tc>
        <w:tc>
          <w:tcPr>
            <w:tcW w:w="2655" w:type="dxa"/>
            <w:tcMar>
              <w:top w:w="75" w:type="dxa"/>
              <w:left w:w="75" w:type="dxa"/>
              <w:bottom w:w="75" w:type="dxa"/>
              <w:right w:w="75" w:type="dxa"/>
            </w:tcMar>
            <w:vAlign w:val="center"/>
          </w:tcPr>
          <w:p w14:paraId="4F2F2584" w14:textId="32FC7ADB" w:rsidR="5BF5182F" w:rsidRDefault="5BF5182F" w:rsidP="5BF5182F">
            <w:pPr>
              <w:rPr>
                <w:rFonts w:eastAsia="Aptos" w:cs="Aptos"/>
                <w:color w:val="153D63"/>
              </w:rPr>
            </w:pPr>
            <w:r w:rsidRPr="5BF5182F">
              <w:rPr>
                <w:rFonts w:eastAsia="Aptos" w:cs="Aptos"/>
                <w:color w:val="153D63"/>
              </w:rPr>
              <w:t>Posílení participace a spoluodpovědnosti za systémové změny</w:t>
            </w:r>
          </w:p>
        </w:tc>
      </w:tr>
      <w:tr w:rsidR="5BF5182F" w14:paraId="666752A9" w14:textId="77777777" w:rsidTr="78C5DBBA">
        <w:trPr>
          <w:trHeight w:val="300"/>
        </w:trPr>
        <w:tc>
          <w:tcPr>
            <w:tcW w:w="1815" w:type="dxa"/>
            <w:tcMar>
              <w:top w:w="75" w:type="dxa"/>
              <w:left w:w="75" w:type="dxa"/>
              <w:bottom w:w="75" w:type="dxa"/>
              <w:right w:w="75" w:type="dxa"/>
            </w:tcMar>
            <w:vAlign w:val="center"/>
          </w:tcPr>
          <w:p w14:paraId="24670738" w14:textId="3C17AF35" w:rsidR="5BF5182F" w:rsidRDefault="5BF5182F" w:rsidP="5BF5182F">
            <w:pPr>
              <w:rPr>
                <w:rFonts w:eastAsia="Aptos" w:cs="Aptos"/>
                <w:color w:val="153D63"/>
              </w:rPr>
            </w:pPr>
            <w:r w:rsidRPr="5BF5182F">
              <w:rPr>
                <w:rFonts w:eastAsia="Aptos" w:cs="Aptos"/>
                <w:color w:val="153D63"/>
              </w:rPr>
              <w:t>Zdravotničtí pracovníci</w:t>
            </w:r>
          </w:p>
        </w:tc>
        <w:tc>
          <w:tcPr>
            <w:tcW w:w="2055" w:type="dxa"/>
            <w:tcMar>
              <w:top w:w="75" w:type="dxa"/>
              <w:left w:w="75" w:type="dxa"/>
              <w:bottom w:w="75" w:type="dxa"/>
              <w:right w:w="75" w:type="dxa"/>
            </w:tcMar>
            <w:vAlign w:val="center"/>
          </w:tcPr>
          <w:p w14:paraId="7F7F7B55" w14:textId="74DD23FA" w:rsidR="5BF5182F" w:rsidRDefault="5BF5182F" w:rsidP="5BF5182F">
            <w:pPr>
              <w:rPr>
                <w:rFonts w:eastAsia="Aptos" w:cs="Aptos"/>
                <w:color w:val="153D63"/>
              </w:rPr>
            </w:pPr>
            <w:r w:rsidRPr="5BF5182F">
              <w:rPr>
                <w:rFonts w:eastAsia="Aptos" w:cs="Aptos"/>
                <w:color w:val="153D63"/>
              </w:rPr>
              <w:t>Strategický rámec pro péči o pacienty s VO, vzdělávání a podpora</w:t>
            </w:r>
          </w:p>
        </w:tc>
        <w:tc>
          <w:tcPr>
            <w:tcW w:w="2520" w:type="dxa"/>
            <w:tcMar>
              <w:top w:w="75" w:type="dxa"/>
              <w:left w:w="75" w:type="dxa"/>
              <w:bottom w:w="75" w:type="dxa"/>
              <w:right w:w="75" w:type="dxa"/>
            </w:tcMar>
            <w:vAlign w:val="center"/>
          </w:tcPr>
          <w:p w14:paraId="16FBE3FB" w14:textId="618663CC" w:rsidR="5BF5182F" w:rsidRDefault="5BF5182F" w:rsidP="5BF5182F">
            <w:pPr>
              <w:rPr>
                <w:rFonts w:eastAsia="Aptos" w:cs="Aptos"/>
                <w:color w:val="153D63"/>
              </w:rPr>
            </w:pPr>
            <w:r w:rsidRPr="5BF5182F">
              <w:rPr>
                <w:rFonts w:eastAsia="Aptos" w:cs="Aptos"/>
                <w:color w:val="153D63"/>
              </w:rPr>
              <w:t>Vzdělávání (pregraduální, postgraduální), přístup k informacím, snížení administrativní zátěže</w:t>
            </w:r>
          </w:p>
        </w:tc>
        <w:tc>
          <w:tcPr>
            <w:tcW w:w="2655" w:type="dxa"/>
            <w:tcMar>
              <w:top w:w="75" w:type="dxa"/>
              <w:left w:w="75" w:type="dxa"/>
              <w:bottom w:w="75" w:type="dxa"/>
              <w:right w:w="75" w:type="dxa"/>
            </w:tcMar>
            <w:vAlign w:val="center"/>
          </w:tcPr>
          <w:p w14:paraId="79F41A82" w14:textId="702D8F2B" w:rsidR="5BF5182F" w:rsidRDefault="5BF5182F" w:rsidP="5BF5182F">
            <w:pPr>
              <w:rPr>
                <w:rFonts w:eastAsia="Aptos" w:cs="Aptos"/>
                <w:color w:val="153D63"/>
              </w:rPr>
            </w:pPr>
            <w:r w:rsidRPr="5BF5182F">
              <w:rPr>
                <w:rFonts w:eastAsia="Aptos" w:cs="Aptos"/>
                <w:color w:val="153D63"/>
              </w:rPr>
              <w:t>Zajištění odborné připravenosti, motivace ke spolupráci, rozpoznání „red flags“</w:t>
            </w:r>
          </w:p>
        </w:tc>
      </w:tr>
      <w:tr w:rsidR="5BF5182F" w14:paraId="07C61CE6" w14:textId="77777777" w:rsidTr="78C5DBBA">
        <w:trPr>
          <w:trHeight w:val="300"/>
        </w:trPr>
        <w:tc>
          <w:tcPr>
            <w:tcW w:w="1815" w:type="dxa"/>
            <w:tcMar>
              <w:top w:w="75" w:type="dxa"/>
              <w:left w:w="75" w:type="dxa"/>
              <w:bottom w:w="75" w:type="dxa"/>
              <w:right w:w="75" w:type="dxa"/>
            </w:tcMar>
            <w:vAlign w:val="center"/>
          </w:tcPr>
          <w:p w14:paraId="58F431B1" w14:textId="03562E74" w:rsidR="5BF5182F" w:rsidRDefault="5BF5182F" w:rsidP="5BF5182F">
            <w:pPr>
              <w:rPr>
                <w:rFonts w:eastAsia="Aptos" w:cs="Aptos"/>
                <w:color w:val="153D63"/>
              </w:rPr>
            </w:pPr>
            <w:r w:rsidRPr="5BF5182F">
              <w:rPr>
                <w:rFonts w:eastAsia="Aptos" w:cs="Aptos"/>
                <w:color w:val="153D63"/>
              </w:rPr>
              <w:t>Poskytovatelé zdravotních a sociálních služeb</w:t>
            </w:r>
          </w:p>
        </w:tc>
        <w:tc>
          <w:tcPr>
            <w:tcW w:w="2055" w:type="dxa"/>
            <w:tcMar>
              <w:top w:w="75" w:type="dxa"/>
              <w:left w:w="75" w:type="dxa"/>
              <w:bottom w:w="75" w:type="dxa"/>
              <w:right w:w="75" w:type="dxa"/>
            </w:tcMar>
            <w:vAlign w:val="center"/>
          </w:tcPr>
          <w:p w14:paraId="45D32F94" w14:textId="4B046D8D" w:rsidR="5BF5182F" w:rsidRDefault="5BF5182F" w:rsidP="5BF5182F">
            <w:pPr>
              <w:rPr>
                <w:rFonts w:eastAsia="Aptos" w:cs="Aptos"/>
                <w:color w:val="153D63"/>
              </w:rPr>
            </w:pPr>
            <w:r w:rsidRPr="5BF5182F">
              <w:rPr>
                <w:rFonts w:eastAsia="Aptos" w:cs="Aptos"/>
                <w:color w:val="153D63"/>
              </w:rPr>
              <w:t>Propojení zdravotní a sociální péče, koordinace péče</w:t>
            </w:r>
          </w:p>
        </w:tc>
        <w:tc>
          <w:tcPr>
            <w:tcW w:w="2520" w:type="dxa"/>
            <w:tcMar>
              <w:top w:w="75" w:type="dxa"/>
              <w:left w:w="75" w:type="dxa"/>
              <w:bottom w:w="75" w:type="dxa"/>
              <w:right w:w="75" w:type="dxa"/>
            </w:tcMar>
            <w:vAlign w:val="center"/>
          </w:tcPr>
          <w:p w14:paraId="2D6B9AAD" w14:textId="10E9A89E" w:rsidR="5BF5182F" w:rsidRDefault="5BF5182F" w:rsidP="5BF5182F">
            <w:pPr>
              <w:rPr>
                <w:rFonts w:eastAsia="Aptos" w:cs="Aptos"/>
                <w:color w:val="153D63"/>
              </w:rPr>
            </w:pPr>
            <w:r w:rsidRPr="5BF5182F">
              <w:rPr>
                <w:rFonts w:eastAsia="Aptos" w:cs="Aptos"/>
                <w:color w:val="153D63"/>
              </w:rPr>
              <w:t>Zlepšení koordinace, sdílení informací, mezioborová spolupráce, MDT týmy</w:t>
            </w:r>
          </w:p>
        </w:tc>
        <w:tc>
          <w:tcPr>
            <w:tcW w:w="2655" w:type="dxa"/>
            <w:tcMar>
              <w:top w:w="75" w:type="dxa"/>
              <w:left w:w="75" w:type="dxa"/>
              <w:bottom w:w="75" w:type="dxa"/>
              <w:right w:w="75" w:type="dxa"/>
            </w:tcMar>
            <w:vAlign w:val="center"/>
          </w:tcPr>
          <w:p w14:paraId="6EBD321C" w14:textId="69EF3703" w:rsidR="5BF5182F" w:rsidRDefault="5BF5182F" w:rsidP="5BF5182F">
            <w:pPr>
              <w:rPr>
                <w:rFonts w:eastAsia="Aptos" w:cs="Aptos"/>
                <w:color w:val="153D63"/>
              </w:rPr>
            </w:pPr>
            <w:r w:rsidRPr="5BF5182F">
              <w:rPr>
                <w:rFonts w:eastAsia="Aptos" w:cs="Aptos"/>
                <w:color w:val="153D63"/>
              </w:rPr>
              <w:t>Podpora mezioborové spolupráce, sdílení dobré praxe, návaznost služeb</w:t>
            </w:r>
          </w:p>
        </w:tc>
      </w:tr>
      <w:tr w:rsidR="5BF5182F" w14:paraId="1937F632" w14:textId="77777777" w:rsidTr="78C5DBBA">
        <w:trPr>
          <w:trHeight w:val="300"/>
        </w:trPr>
        <w:tc>
          <w:tcPr>
            <w:tcW w:w="1815" w:type="dxa"/>
            <w:tcMar>
              <w:top w:w="75" w:type="dxa"/>
              <w:left w:w="75" w:type="dxa"/>
              <w:bottom w:w="75" w:type="dxa"/>
              <w:right w:w="75" w:type="dxa"/>
            </w:tcMar>
            <w:vAlign w:val="center"/>
          </w:tcPr>
          <w:p w14:paraId="34A26196" w14:textId="5AA451A7" w:rsidR="5BF5182F" w:rsidRDefault="5BF5182F" w:rsidP="5BF5182F">
            <w:pPr>
              <w:rPr>
                <w:rFonts w:eastAsia="Aptos" w:cs="Aptos"/>
                <w:color w:val="153D63"/>
              </w:rPr>
            </w:pPr>
            <w:r w:rsidRPr="5BF5182F">
              <w:rPr>
                <w:rFonts w:eastAsia="Aptos" w:cs="Aptos"/>
                <w:color w:val="153D63"/>
              </w:rPr>
              <w:t>Zdravotní pojišťovny</w:t>
            </w:r>
          </w:p>
        </w:tc>
        <w:tc>
          <w:tcPr>
            <w:tcW w:w="2055" w:type="dxa"/>
            <w:tcMar>
              <w:top w:w="75" w:type="dxa"/>
              <w:left w:w="75" w:type="dxa"/>
              <w:bottom w:w="75" w:type="dxa"/>
              <w:right w:w="75" w:type="dxa"/>
            </w:tcMar>
            <w:vAlign w:val="center"/>
          </w:tcPr>
          <w:p w14:paraId="274E864C" w14:textId="2EBD19FC" w:rsidR="5BF5182F" w:rsidRDefault="5BF5182F" w:rsidP="5BF5182F">
            <w:pPr>
              <w:rPr>
                <w:rFonts w:eastAsia="Aptos" w:cs="Aptos"/>
                <w:color w:val="153D63"/>
              </w:rPr>
            </w:pPr>
            <w:r w:rsidRPr="5BF5182F">
              <w:rPr>
                <w:rFonts w:eastAsia="Aptos" w:cs="Aptos"/>
                <w:color w:val="153D63"/>
              </w:rPr>
              <w:t xml:space="preserve">Efektivní využití prostředků, </w:t>
            </w:r>
            <w:r w:rsidRPr="5BF5182F">
              <w:rPr>
                <w:rFonts w:eastAsia="Aptos" w:cs="Aptos"/>
                <w:color w:val="153D63"/>
              </w:rPr>
              <w:lastRenderedPageBreak/>
              <w:t>podpora centralizace péče</w:t>
            </w:r>
          </w:p>
        </w:tc>
        <w:tc>
          <w:tcPr>
            <w:tcW w:w="2520" w:type="dxa"/>
            <w:tcMar>
              <w:top w:w="75" w:type="dxa"/>
              <w:left w:w="75" w:type="dxa"/>
              <w:bottom w:w="75" w:type="dxa"/>
              <w:right w:w="75" w:type="dxa"/>
            </w:tcMar>
            <w:vAlign w:val="center"/>
          </w:tcPr>
          <w:p w14:paraId="49C6C13B" w14:textId="36A22D4A" w:rsidR="5BF5182F" w:rsidRDefault="5BF5182F" w:rsidP="5BF5182F">
            <w:pPr>
              <w:rPr>
                <w:rFonts w:eastAsia="Aptos" w:cs="Aptos"/>
                <w:color w:val="153D63"/>
              </w:rPr>
            </w:pPr>
            <w:r w:rsidRPr="5BF5182F">
              <w:rPr>
                <w:rFonts w:eastAsia="Aptos" w:cs="Aptos"/>
                <w:color w:val="153D63"/>
              </w:rPr>
              <w:lastRenderedPageBreak/>
              <w:t xml:space="preserve">Udržitelnost a efektivita financování, kvalitní </w:t>
            </w:r>
            <w:r w:rsidRPr="5BF5182F">
              <w:rPr>
                <w:rFonts w:eastAsia="Aptos" w:cs="Aptos"/>
                <w:color w:val="153D63"/>
              </w:rPr>
              <w:lastRenderedPageBreak/>
              <w:t>podklady pro rozhodování</w:t>
            </w:r>
          </w:p>
        </w:tc>
        <w:tc>
          <w:tcPr>
            <w:tcW w:w="2655" w:type="dxa"/>
            <w:tcMar>
              <w:top w:w="75" w:type="dxa"/>
              <w:left w:w="75" w:type="dxa"/>
              <w:bottom w:w="75" w:type="dxa"/>
              <w:right w:w="75" w:type="dxa"/>
            </w:tcMar>
            <w:vAlign w:val="center"/>
          </w:tcPr>
          <w:p w14:paraId="5668BCF8" w14:textId="2B06AF63" w:rsidR="5BF5182F" w:rsidRDefault="5BF5182F" w:rsidP="5BF5182F">
            <w:pPr>
              <w:rPr>
                <w:rFonts w:eastAsia="Aptos" w:cs="Aptos"/>
                <w:color w:val="153D63"/>
              </w:rPr>
            </w:pPr>
            <w:r w:rsidRPr="5BF5182F">
              <w:rPr>
                <w:rFonts w:eastAsia="Aptos" w:cs="Aptos"/>
                <w:color w:val="153D63"/>
              </w:rPr>
              <w:lastRenderedPageBreak/>
              <w:t xml:space="preserve">Vytvoření podmínek pro udržitelné financování </w:t>
            </w:r>
            <w:r w:rsidRPr="5BF5182F">
              <w:rPr>
                <w:rFonts w:eastAsia="Aptos" w:cs="Aptos"/>
                <w:color w:val="153D63"/>
              </w:rPr>
              <w:lastRenderedPageBreak/>
              <w:t>péče, podpora datové infrastruktury</w:t>
            </w:r>
          </w:p>
        </w:tc>
      </w:tr>
      <w:tr w:rsidR="5BF5182F" w14:paraId="24750036" w14:textId="77777777" w:rsidTr="78C5DBBA">
        <w:trPr>
          <w:trHeight w:val="300"/>
        </w:trPr>
        <w:tc>
          <w:tcPr>
            <w:tcW w:w="1815" w:type="dxa"/>
            <w:tcMar>
              <w:top w:w="75" w:type="dxa"/>
              <w:left w:w="75" w:type="dxa"/>
              <w:bottom w:w="75" w:type="dxa"/>
              <w:right w:w="75" w:type="dxa"/>
            </w:tcMar>
            <w:vAlign w:val="center"/>
          </w:tcPr>
          <w:p w14:paraId="0638D840" w14:textId="54DFA9AE" w:rsidR="5BF5182F" w:rsidRDefault="5BF5182F" w:rsidP="5BF5182F">
            <w:pPr>
              <w:rPr>
                <w:rFonts w:eastAsia="Aptos" w:cs="Aptos"/>
                <w:color w:val="153D63"/>
              </w:rPr>
            </w:pPr>
            <w:r w:rsidRPr="5BF5182F">
              <w:rPr>
                <w:rFonts w:eastAsia="Aptos" w:cs="Aptos"/>
                <w:color w:val="153D63"/>
              </w:rPr>
              <w:t>Orgány veřejné správy a státní instituce</w:t>
            </w:r>
          </w:p>
        </w:tc>
        <w:tc>
          <w:tcPr>
            <w:tcW w:w="2055" w:type="dxa"/>
            <w:tcMar>
              <w:top w:w="75" w:type="dxa"/>
              <w:left w:w="75" w:type="dxa"/>
              <w:bottom w:w="75" w:type="dxa"/>
              <w:right w:w="75" w:type="dxa"/>
            </w:tcMar>
            <w:vAlign w:val="center"/>
          </w:tcPr>
          <w:p w14:paraId="34779A0D" w14:textId="230627B8" w:rsidR="5BF5182F" w:rsidRDefault="5BF5182F" w:rsidP="5BF5182F">
            <w:pPr>
              <w:rPr>
                <w:rFonts w:eastAsia="Aptos" w:cs="Aptos"/>
                <w:color w:val="153D63"/>
              </w:rPr>
            </w:pPr>
            <w:r w:rsidRPr="5BF5182F">
              <w:rPr>
                <w:rFonts w:eastAsia="Aptos" w:cs="Aptos"/>
                <w:color w:val="153D63"/>
              </w:rPr>
              <w:t>Strategie jako nástroj veřejné politiky, meziresortní koordinace</w:t>
            </w:r>
          </w:p>
        </w:tc>
        <w:tc>
          <w:tcPr>
            <w:tcW w:w="2520" w:type="dxa"/>
            <w:tcMar>
              <w:top w:w="75" w:type="dxa"/>
              <w:left w:w="75" w:type="dxa"/>
              <w:bottom w:w="75" w:type="dxa"/>
              <w:right w:w="75" w:type="dxa"/>
            </w:tcMar>
            <w:vAlign w:val="center"/>
          </w:tcPr>
          <w:p w14:paraId="76B1E56A" w14:textId="4DC68578" w:rsidR="5BF5182F" w:rsidRDefault="5BF5182F" w:rsidP="5BF5182F">
            <w:pPr>
              <w:rPr>
                <w:rFonts w:eastAsia="Aptos" w:cs="Aptos"/>
                <w:color w:val="153D63"/>
              </w:rPr>
            </w:pPr>
            <w:r w:rsidRPr="5BF5182F">
              <w:rPr>
                <w:rFonts w:eastAsia="Aptos" w:cs="Aptos"/>
                <w:color w:val="153D63"/>
              </w:rPr>
              <w:t>Zlepšení kvality života občanů, efektivní řízení systému</w:t>
            </w:r>
          </w:p>
        </w:tc>
        <w:tc>
          <w:tcPr>
            <w:tcW w:w="2655" w:type="dxa"/>
            <w:tcMar>
              <w:top w:w="75" w:type="dxa"/>
              <w:left w:w="75" w:type="dxa"/>
              <w:bottom w:w="75" w:type="dxa"/>
              <w:right w:w="75" w:type="dxa"/>
            </w:tcMar>
            <w:vAlign w:val="center"/>
          </w:tcPr>
          <w:p w14:paraId="2BA69E19" w14:textId="3E19C588" w:rsidR="5BF5182F" w:rsidRDefault="5BF5182F" w:rsidP="5BF5182F">
            <w:pPr>
              <w:rPr>
                <w:rFonts w:eastAsia="Aptos" w:cs="Aptos"/>
                <w:color w:val="153D63"/>
              </w:rPr>
            </w:pPr>
            <w:r w:rsidRPr="5BF5182F">
              <w:rPr>
                <w:rFonts w:eastAsia="Aptos" w:cs="Aptos"/>
                <w:color w:val="153D63"/>
              </w:rPr>
              <w:t>Zajištění politické podpory, koordinace napříč resorty, využití fondů, dotací a grantů</w:t>
            </w:r>
          </w:p>
        </w:tc>
      </w:tr>
      <w:tr w:rsidR="5BF5182F" w14:paraId="78F723D5" w14:textId="77777777" w:rsidTr="78C5DBBA">
        <w:trPr>
          <w:trHeight w:val="300"/>
        </w:trPr>
        <w:tc>
          <w:tcPr>
            <w:tcW w:w="1815" w:type="dxa"/>
            <w:tcMar>
              <w:top w:w="75" w:type="dxa"/>
              <w:left w:w="75" w:type="dxa"/>
              <w:bottom w:w="75" w:type="dxa"/>
              <w:right w:w="75" w:type="dxa"/>
            </w:tcMar>
            <w:vAlign w:val="center"/>
          </w:tcPr>
          <w:p w14:paraId="2ACC0629" w14:textId="0852EF0E" w:rsidR="5BF5182F" w:rsidRDefault="5BF5182F" w:rsidP="5BF5182F">
            <w:pPr>
              <w:rPr>
                <w:rFonts w:eastAsia="Aptos" w:cs="Aptos"/>
                <w:color w:val="153D63"/>
              </w:rPr>
            </w:pPr>
            <w:r w:rsidRPr="5BF5182F">
              <w:rPr>
                <w:rFonts w:eastAsia="Aptos" w:cs="Aptos"/>
                <w:color w:val="153D63"/>
              </w:rPr>
              <w:t>Výzkumné a akademické instituce, odborná veřejnost</w:t>
            </w:r>
          </w:p>
        </w:tc>
        <w:tc>
          <w:tcPr>
            <w:tcW w:w="2055" w:type="dxa"/>
            <w:tcMar>
              <w:top w:w="75" w:type="dxa"/>
              <w:left w:w="75" w:type="dxa"/>
              <w:bottom w:w="75" w:type="dxa"/>
              <w:right w:w="75" w:type="dxa"/>
            </w:tcMar>
            <w:vAlign w:val="center"/>
          </w:tcPr>
          <w:p w14:paraId="18745413" w14:textId="7646152D" w:rsidR="5BF5182F" w:rsidRDefault="5BF5182F" w:rsidP="5BF5182F">
            <w:pPr>
              <w:rPr>
                <w:rFonts w:eastAsia="Aptos" w:cs="Aptos"/>
                <w:color w:val="153D63"/>
              </w:rPr>
            </w:pPr>
            <w:r w:rsidRPr="5BF5182F">
              <w:rPr>
                <w:rFonts w:eastAsia="Aptos" w:cs="Aptos"/>
                <w:color w:val="153D63"/>
              </w:rPr>
              <w:t>Podpora výzkumu, inovací, přenos poznatků do praxe</w:t>
            </w:r>
          </w:p>
        </w:tc>
        <w:tc>
          <w:tcPr>
            <w:tcW w:w="2520" w:type="dxa"/>
            <w:tcMar>
              <w:top w:w="75" w:type="dxa"/>
              <w:left w:w="75" w:type="dxa"/>
              <w:bottom w:w="75" w:type="dxa"/>
              <w:right w:w="75" w:type="dxa"/>
            </w:tcMar>
            <w:vAlign w:val="center"/>
          </w:tcPr>
          <w:p w14:paraId="549DBF7E" w14:textId="29A92BA2" w:rsidR="5BF5182F" w:rsidRDefault="5BF5182F" w:rsidP="5BF5182F">
            <w:pPr>
              <w:rPr>
                <w:rFonts w:eastAsia="Aptos" w:cs="Aptos"/>
                <w:color w:val="153D63"/>
              </w:rPr>
            </w:pPr>
            <w:r w:rsidRPr="5BF5182F">
              <w:rPr>
                <w:rFonts w:eastAsia="Aptos" w:cs="Aptos"/>
                <w:color w:val="153D63"/>
              </w:rPr>
              <w:t>Přístup k datům, spolupráce s praxí, zapojení do mezinárodních projektů</w:t>
            </w:r>
          </w:p>
        </w:tc>
        <w:tc>
          <w:tcPr>
            <w:tcW w:w="2655" w:type="dxa"/>
            <w:tcMar>
              <w:top w:w="75" w:type="dxa"/>
              <w:left w:w="75" w:type="dxa"/>
              <w:bottom w:w="75" w:type="dxa"/>
              <w:right w:w="75" w:type="dxa"/>
            </w:tcMar>
            <w:vAlign w:val="center"/>
          </w:tcPr>
          <w:p w14:paraId="212D5C33" w14:textId="172AC0CE" w:rsidR="5BF5182F" w:rsidRDefault="5BF5182F" w:rsidP="5BF5182F">
            <w:pPr>
              <w:rPr>
                <w:rFonts w:eastAsia="Aptos" w:cs="Aptos"/>
                <w:color w:val="153D63"/>
              </w:rPr>
            </w:pPr>
            <w:r w:rsidRPr="5BF5182F">
              <w:rPr>
                <w:rFonts w:eastAsia="Aptos" w:cs="Aptos"/>
                <w:color w:val="153D63"/>
              </w:rPr>
              <w:t>Posílení výzkumné základny, podpora klinických studií, sdílení dat</w:t>
            </w:r>
          </w:p>
        </w:tc>
      </w:tr>
      <w:tr w:rsidR="5BF5182F" w14:paraId="799D4F52" w14:textId="77777777" w:rsidTr="78C5DBBA">
        <w:trPr>
          <w:trHeight w:val="300"/>
        </w:trPr>
        <w:tc>
          <w:tcPr>
            <w:tcW w:w="1815" w:type="dxa"/>
            <w:tcMar>
              <w:top w:w="75" w:type="dxa"/>
              <w:left w:w="75" w:type="dxa"/>
              <w:bottom w:w="75" w:type="dxa"/>
              <w:right w:w="75" w:type="dxa"/>
            </w:tcMar>
            <w:vAlign w:val="center"/>
          </w:tcPr>
          <w:p w14:paraId="6FB47E76" w14:textId="1963F599" w:rsidR="5BF5182F" w:rsidRDefault="5BF5182F" w:rsidP="5BF5182F">
            <w:pPr>
              <w:rPr>
                <w:rFonts w:eastAsia="Aptos" w:cs="Aptos"/>
                <w:color w:val="153D63"/>
              </w:rPr>
            </w:pPr>
            <w:r w:rsidRPr="5BF5182F">
              <w:rPr>
                <w:rFonts w:eastAsia="Aptos" w:cs="Aptos"/>
                <w:color w:val="153D63"/>
              </w:rPr>
              <w:t>Laická veřejnost / širší veřejnost</w:t>
            </w:r>
          </w:p>
        </w:tc>
        <w:tc>
          <w:tcPr>
            <w:tcW w:w="2055" w:type="dxa"/>
            <w:tcMar>
              <w:top w:w="75" w:type="dxa"/>
              <w:left w:w="75" w:type="dxa"/>
              <w:bottom w:w="75" w:type="dxa"/>
              <w:right w:w="75" w:type="dxa"/>
            </w:tcMar>
            <w:vAlign w:val="center"/>
          </w:tcPr>
          <w:p w14:paraId="0DF015CF" w14:textId="2C215BC1" w:rsidR="5BF5182F" w:rsidRDefault="5BF5182F" w:rsidP="5BF5182F">
            <w:pPr>
              <w:rPr>
                <w:rFonts w:eastAsia="Aptos" w:cs="Aptos"/>
                <w:color w:val="153D63"/>
              </w:rPr>
            </w:pPr>
            <w:r w:rsidRPr="5BF5182F">
              <w:rPr>
                <w:rFonts w:eastAsia="Aptos" w:cs="Aptos"/>
                <w:color w:val="153D63"/>
              </w:rPr>
              <w:t>Zvýšení povědomí o VO, prevence stigmatizace</w:t>
            </w:r>
          </w:p>
        </w:tc>
        <w:tc>
          <w:tcPr>
            <w:tcW w:w="2520" w:type="dxa"/>
            <w:tcMar>
              <w:top w:w="75" w:type="dxa"/>
              <w:left w:w="75" w:type="dxa"/>
              <w:bottom w:w="75" w:type="dxa"/>
              <w:right w:w="75" w:type="dxa"/>
            </w:tcMar>
            <w:vAlign w:val="center"/>
          </w:tcPr>
          <w:p w14:paraId="760BE884" w14:textId="3BAF084F" w:rsidR="5BF5182F" w:rsidRDefault="5BF5182F" w:rsidP="5BF5182F">
            <w:pPr>
              <w:rPr>
                <w:rFonts w:eastAsia="Aptos" w:cs="Aptos"/>
                <w:color w:val="153D63"/>
              </w:rPr>
            </w:pPr>
            <w:r w:rsidRPr="5BF5182F">
              <w:rPr>
                <w:rFonts w:eastAsia="Aptos" w:cs="Aptos"/>
                <w:color w:val="153D63"/>
              </w:rPr>
              <w:t>Empatie, informovanost, podpora inkluze</w:t>
            </w:r>
          </w:p>
        </w:tc>
        <w:tc>
          <w:tcPr>
            <w:tcW w:w="2655" w:type="dxa"/>
            <w:tcMar>
              <w:top w:w="75" w:type="dxa"/>
              <w:left w:w="75" w:type="dxa"/>
              <w:bottom w:w="75" w:type="dxa"/>
              <w:right w:w="75" w:type="dxa"/>
            </w:tcMar>
            <w:vAlign w:val="center"/>
          </w:tcPr>
          <w:p w14:paraId="56C693CA" w14:textId="53838618" w:rsidR="5BF5182F" w:rsidRDefault="5BF5182F" w:rsidP="5BF5182F">
            <w:pPr>
              <w:rPr>
                <w:rFonts w:eastAsia="Aptos" w:cs="Aptos"/>
                <w:color w:val="153D63"/>
              </w:rPr>
            </w:pPr>
            <w:r w:rsidRPr="5BF5182F">
              <w:rPr>
                <w:rFonts w:eastAsia="Aptos" w:cs="Aptos"/>
                <w:color w:val="153D63"/>
              </w:rPr>
              <w:t>Zvýšení povědomí, empatie a společenské podpory, destigmatizace</w:t>
            </w:r>
          </w:p>
        </w:tc>
      </w:tr>
      <w:tr w:rsidR="5BF5182F" w14:paraId="1B54C241" w14:textId="77777777" w:rsidTr="78C5DBBA">
        <w:trPr>
          <w:trHeight w:val="300"/>
        </w:trPr>
        <w:tc>
          <w:tcPr>
            <w:tcW w:w="1815" w:type="dxa"/>
            <w:tcMar>
              <w:top w:w="75" w:type="dxa"/>
              <w:left w:w="75" w:type="dxa"/>
              <w:bottom w:w="75" w:type="dxa"/>
              <w:right w:w="75" w:type="dxa"/>
            </w:tcMar>
            <w:vAlign w:val="center"/>
          </w:tcPr>
          <w:p w14:paraId="514858ED" w14:textId="5407EBFE" w:rsidR="5BF5182F" w:rsidRDefault="5BF5182F" w:rsidP="5BF5182F">
            <w:pPr>
              <w:rPr>
                <w:rFonts w:eastAsia="Aptos" w:cs="Aptos"/>
                <w:color w:val="153D63"/>
              </w:rPr>
            </w:pPr>
            <w:r w:rsidRPr="5BF5182F">
              <w:rPr>
                <w:rFonts w:eastAsia="Aptos" w:cs="Aptos"/>
                <w:color w:val="153D63"/>
              </w:rPr>
              <w:t>MZD / MEKOVO</w:t>
            </w:r>
          </w:p>
        </w:tc>
        <w:tc>
          <w:tcPr>
            <w:tcW w:w="2055" w:type="dxa"/>
            <w:tcMar>
              <w:top w:w="75" w:type="dxa"/>
              <w:left w:w="75" w:type="dxa"/>
              <w:bottom w:w="75" w:type="dxa"/>
              <w:right w:w="75" w:type="dxa"/>
            </w:tcMar>
            <w:vAlign w:val="center"/>
          </w:tcPr>
          <w:p w14:paraId="270026FA" w14:textId="1894B6F4" w:rsidR="5BF5182F" w:rsidRDefault="5BF5182F" w:rsidP="5BF5182F">
            <w:pPr>
              <w:rPr>
                <w:rFonts w:eastAsia="Aptos" w:cs="Aptos"/>
                <w:color w:val="153D63"/>
              </w:rPr>
            </w:pPr>
            <w:r w:rsidRPr="5BF5182F">
              <w:rPr>
                <w:rFonts w:eastAsia="Aptos" w:cs="Aptos"/>
                <w:color w:val="153D63"/>
              </w:rPr>
              <w:t>Koordinace a garantování strategie, řízení realizace</w:t>
            </w:r>
          </w:p>
        </w:tc>
        <w:tc>
          <w:tcPr>
            <w:tcW w:w="2520" w:type="dxa"/>
            <w:tcMar>
              <w:top w:w="75" w:type="dxa"/>
              <w:left w:w="75" w:type="dxa"/>
              <w:bottom w:w="75" w:type="dxa"/>
              <w:right w:w="75" w:type="dxa"/>
            </w:tcMar>
            <w:vAlign w:val="center"/>
          </w:tcPr>
          <w:p w14:paraId="1E7CC3AF" w14:textId="3C170E87" w:rsidR="5BF5182F" w:rsidRDefault="5BF5182F" w:rsidP="5BF5182F">
            <w:pPr>
              <w:rPr>
                <w:rFonts w:eastAsia="Aptos" w:cs="Aptos"/>
                <w:color w:val="153D63"/>
              </w:rPr>
            </w:pPr>
            <w:r w:rsidRPr="5BF5182F">
              <w:rPr>
                <w:rFonts w:eastAsia="Aptos" w:cs="Aptos"/>
                <w:color w:val="153D63"/>
              </w:rPr>
              <w:t>Přínosy pro systém, efektivní řízení, monitoring a evaluace</w:t>
            </w:r>
          </w:p>
        </w:tc>
        <w:tc>
          <w:tcPr>
            <w:tcW w:w="2655" w:type="dxa"/>
            <w:tcMar>
              <w:top w:w="75" w:type="dxa"/>
              <w:left w:w="75" w:type="dxa"/>
              <w:bottom w:w="75" w:type="dxa"/>
              <w:right w:w="75" w:type="dxa"/>
            </w:tcMar>
            <w:vAlign w:val="center"/>
          </w:tcPr>
          <w:p w14:paraId="3BCFC305" w14:textId="0111F89E" w:rsidR="5BF5182F" w:rsidRDefault="5BF5182F" w:rsidP="5BF5182F">
            <w:pPr>
              <w:rPr>
                <w:rFonts w:eastAsia="Aptos" w:cs="Aptos"/>
                <w:color w:val="153D63"/>
              </w:rPr>
            </w:pPr>
            <w:r w:rsidRPr="5BF5182F">
              <w:rPr>
                <w:rFonts w:eastAsia="Aptos" w:cs="Aptos"/>
                <w:color w:val="153D63"/>
              </w:rPr>
              <w:t>Zajištění efektivní realizace a řízení strategie, podpora implementační struktury</w:t>
            </w:r>
          </w:p>
        </w:tc>
      </w:tr>
    </w:tbl>
    <w:p w14:paraId="2AAE54BD" w14:textId="71878F2B" w:rsidR="5BF5182F" w:rsidRDefault="5BF5182F" w:rsidP="5BF5182F">
      <w:pPr>
        <w:jc w:val="both"/>
      </w:pPr>
    </w:p>
    <w:p w14:paraId="11D8A01C" w14:textId="188218EC" w:rsidR="00D8608F" w:rsidRPr="00D8608F" w:rsidRDefault="6445661D" w:rsidP="00AF0805">
      <w:pPr>
        <w:pStyle w:val="Nadpis1"/>
      </w:pPr>
      <w:r>
        <w:t xml:space="preserve">  </w:t>
      </w:r>
      <w:r w:rsidR="2FA473A3">
        <w:t>Přílohy</w:t>
      </w:r>
    </w:p>
    <w:p w14:paraId="5633CB31" w14:textId="61C8BD40" w:rsidR="10612A28" w:rsidRDefault="10612A28" w:rsidP="5BF5182F">
      <w:pPr>
        <w:numPr>
          <w:ilvl w:val="0"/>
          <w:numId w:val="8"/>
        </w:numPr>
      </w:pPr>
      <w:r>
        <w:t>Logický rámec realizace NSVO 2026-2035</w:t>
      </w:r>
    </w:p>
    <w:p w14:paraId="069C9B9D" w14:textId="3B3EC84E" w:rsidR="00D8608F" w:rsidRPr="00D8608F" w:rsidRDefault="2FA473A3" w:rsidP="00CB25AE">
      <w:pPr>
        <w:numPr>
          <w:ilvl w:val="0"/>
          <w:numId w:val="8"/>
        </w:numPr>
      </w:pPr>
      <w:r>
        <w:t>Registr rizik</w:t>
      </w:r>
      <w:r w:rsidR="70DA7254">
        <w:t xml:space="preserve"> NSVO 2026-2035</w:t>
      </w:r>
    </w:p>
    <w:p w14:paraId="4FF236AE" w14:textId="13FA9533" w:rsidR="00EB33B9" w:rsidRPr="001643A3" w:rsidRDefault="00EB33B9" w:rsidP="5BF5182F">
      <w:pPr>
        <w:pStyle w:val="Default"/>
        <w:rPr>
          <w:b/>
          <w:bCs/>
          <w:sz w:val="23"/>
          <w:szCs w:val="23"/>
          <w:highlight w:val="yellow"/>
        </w:rPr>
      </w:pPr>
    </w:p>
    <w:p w14:paraId="017728CE" w14:textId="589BDC78" w:rsidR="00EB33B9" w:rsidRDefault="00EB33B9" w:rsidP="00183F5F">
      <w:pPr>
        <w:pStyle w:val="Odstavecseseznamem"/>
      </w:pPr>
    </w:p>
    <w:sectPr w:rsidR="00EB33B9" w:rsidSect="00AF0805">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82D212" w14:textId="77777777" w:rsidR="00DA6A56" w:rsidRDefault="00DA6A56" w:rsidP="00AF0805">
      <w:pPr>
        <w:spacing w:after="0" w:line="240" w:lineRule="auto"/>
      </w:pPr>
      <w:r>
        <w:separator/>
      </w:r>
    </w:p>
  </w:endnote>
  <w:endnote w:type="continuationSeparator" w:id="0">
    <w:p w14:paraId="29A6974E" w14:textId="77777777" w:rsidR="00DA6A56" w:rsidRDefault="00DA6A56" w:rsidP="00AF08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Aptos Narrow">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35671" w14:textId="77777777" w:rsidR="000D5CBF" w:rsidRDefault="000D5CBF">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7700726"/>
      <w:docPartObj>
        <w:docPartGallery w:val="Page Numbers (Bottom of Page)"/>
        <w:docPartUnique/>
      </w:docPartObj>
    </w:sdtPr>
    <w:sdtContent>
      <w:p w14:paraId="2C409BF0" w14:textId="49D3CF35" w:rsidR="00AF0805" w:rsidRDefault="00AF0805">
        <w:pPr>
          <w:pStyle w:val="Zpat"/>
          <w:jc w:val="center"/>
        </w:pPr>
        <w:r>
          <w:fldChar w:fldCharType="begin"/>
        </w:r>
        <w:r>
          <w:instrText>PAGE   \* MERGEFORMAT</w:instrText>
        </w:r>
        <w:r>
          <w:fldChar w:fldCharType="separate"/>
        </w:r>
        <w:r>
          <w:t>2</w:t>
        </w:r>
        <w:r>
          <w:fldChar w:fldCharType="end"/>
        </w:r>
      </w:p>
    </w:sdtContent>
  </w:sdt>
  <w:p w14:paraId="3FBB342D" w14:textId="77777777" w:rsidR="00AF0805" w:rsidRDefault="00AF0805">
    <w:pPr>
      <w:pStyle w:val="Zp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77577" w14:textId="77777777" w:rsidR="000D5CBF" w:rsidRDefault="000D5CBF">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8DC05F" w14:textId="77777777" w:rsidR="00DA6A56" w:rsidRDefault="00DA6A56" w:rsidP="00AF0805">
      <w:pPr>
        <w:spacing w:after="0" w:line="240" w:lineRule="auto"/>
      </w:pPr>
      <w:r>
        <w:separator/>
      </w:r>
    </w:p>
  </w:footnote>
  <w:footnote w:type="continuationSeparator" w:id="0">
    <w:p w14:paraId="7AF6A6BF" w14:textId="77777777" w:rsidR="00DA6A56" w:rsidRDefault="00DA6A56" w:rsidP="00AF08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FEEBF" w14:textId="77777777" w:rsidR="000D5CBF" w:rsidRDefault="000D5CBF">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FA6840" w14:textId="77777777" w:rsidR="000D5CBF" w:rsidRDefault="000D5CBF">
    <w:pPr>
      <w:pStyle w:val="Zhlav"/>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DB148" w14:textId="1B5014A9" w:rsidR="000D5CBF" w:rsidRDefault="50B70E25">
    <w:pPr>
      <w:pStyle w:val="Zhlav"/>
    </w:pPr>
    <w:r>
      <w:rPr>
        <w:noProof/>
      </w:rPr>
      <w:drawing>
        <wp:inline distT="0" distB="0" distL="0" distR="0" wp14:anchorId="08580285" wp14:editId="6EF4B9E6">
          <wp:extent cx="2525273" cy="384049"/>
          <wp:effectExtent l="0" t="0" r="0" b="0"/>
          <wp:docPr id="63406103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061037" name="Picture 634061037"/>
                  <pic:cNvPicPr/>
                </pic:nvPicPr>
                <pic:blipFill>
                  <a:blip r:embed="rId1">
                    <a:extLst>
                      <a:ext uri="{28A0092B-C50C-407E-A947-70E740481C1C}">
                        <a14:useLocalDpi xmlns:a14="http://schemas.microsoft.com/office/drawing/2010/main"/>
                      </a:ext>
                    </a:extLst>
                  </a:blip>
                  <a:stretch>
                    <a:fillRect/>
                  </a:stretch>
                </pic:blipFill>
                <pic:spPr>
                  <a:xfrm>
                    <a:off x="0" y="0"/>
                    <a:ext cx="2525273" cy="38404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94764"/>
    <w:multiLevelType w:val="hybridMultilevel"/>
    <w:tmpl w:val="58CCEF02"/>
    <w:lvl w:ilvl="0" w:tplc="B1F4534C">
      <w:start w:val="1"/>
      <w:numFmt w:val="decimal"/>
      <w:lvlText w:val="%1."/>
      <w:lvlJc w:val="left"/>
      <w:pPr>
        <w:ind w:left="720" w:hanging="360"/>
      </w:pPr>
    </w:lvl>
    <w:lvl w:ilvl="1" w:tplc="039A91DA">
      <w:start w:val="1"/>
      <w:numFmt w:val="lowerLetter"/>
      <w:lvlText w:val="%2."/>
      <w:lvlJc w:val="left"/>
      <w:pPr>
        <w:ind w:left="1440" w:hanging="360"/>
      </w:pPr>
    </w:lvl>
    <w:lvl w:ilvl="2" w:tplc="C18A6DF6">
      <w:start w:val="1"/>
      <w:numFmt w:val="upperRoman"/>
      <w:lvlText w:val="%3."/>
      <w:lvlJc w:val="right"/>
      <w:pPr>
        <w:ind w:left="927" w:hanging="360"/>
      </w:pPr>
    </w:lvl>
    <w:lvl w:ilvl="3" w:tplc="1264D100">
      <w:start w:val="1"/>
      <w:numFmt w:val="decimal"/>
      <w:lvlText w:val="%4."/>
      <w:lvlJc w:val="left"/>
      <w:pPr>
        <w:ind w:left="2880" w:hanging="360"/>
      </w:pPr>
    </w:lvl>
    <w:lvl w:ilvl="4" w:tplc="9B2C55F0">
      <w:start w:val="1"/>
      <w:numFmt w:val="lowerLetter"/>
      <w:lvlText w:val="%5."/>
      <w:lvlJc w:val="left"/>
      <w:pPr>
        <w:ind w:left="3600" w:hanging="360"/>
      </w:pPr>
    </w:lvl>
    <w:lvl w:ilvl="5" w:tplc="5BEA9CF8">
      <w:start w:val="1"/>
      <w:numFmt w:val="lowerRoman"/>
      <w:lvlText w:val="%6."/>
      <w:lvlJc w:val="right"/>
      <w:pPr>
        <w:ind w:left="4320" w:hanging="180"/>
      </w:pPr>
    </w:lvl>
    <w:lvl w:ilvl="6" w:tplc="47FCE0AC">
      <w:start w:val="1"/>
      <w:numFmt w:val="decimal"/>
      <w:lvlText w:val="%7."/>
      <w:lvlJc w:val="left"/>
      <w:pPr>
        <w:ind w:left="5040" w:hanging="360"/>
      </w:pPr>
    </w:lvl>
    <w:lvl w:ilvl="7" w:tplc="A4B680FE">
      <w:start w:val="1"/>
      <w:numFmt w:val="lowerLetter"/>
      <w:lvlText w:val="%8."/>
      <w:lvlJc w:val="left"/>
      <w:pPr>
        <w:ind w:left="5760" w:hanging="360"/>
      </w:pPr>
    </w:lvl>
    <w:lvl w:ilvl="8" w:tplc="34A62B7C">
      <w:start w:val="1"/>
      <w:numFmt w:val="lowerRoman"/>
      <w:lvlText w:val="%9."/>
      <w:lvlJc w:val="right"/>
      <w:pPr>
        <w:ind w:left="6480" w:hanging="180"/>
      </w:pPr>
    </w:lvl>
  </w:abstractNum>
  <w:abstractNum w:abstractNumId="1" w15:restartNumberingAfterBreak="0">
    <w:nsid w:val="05E84925"/>
    <w:multiLevelType w:val="hybridMultilevel"/>
    <w:tmpl w:val="A87AE6E0"/>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 w15:restartNumberingAfterBreak="0">
    <w:nsid w:val="0AC85816"/>
    <w:multiLevelType w:val="hybridMultilevel"/>
    <w:tmpl w:val="264EDD5E"/>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 w15:restartNumberingAfterBreak="0">
    <w:nsid w:val="10166010"/>
    <w:multiLevelType w:val="hybridMultilevel"/>
    <w:tmpl w:val="45DA46D0"/>
    <w:lvl w:ilvl="0" w:tplc="F07A42A6">
      <w:start w:val="1"/>
      <w:numFmt w:val="lowerLetter"/>
      <w:lvlText w:val="%1)"/>
      <w:lvlJc w:val="left"/>
      <w:pPr>
        <w:ind w:left="927" w:hanging="360"/>
      </w:pPr>
      <w:rPr>
        <w:rFonts w:hint="default"/>
      </w:rPr>
    </w:lvl>
    <w:lvl w:ilvl="1" w:tplc="04050019" w:tentative="1">
      <w:start w:val="1"/>
      <w:numFmt w:val="lowerLetter"/>
      <w:lvlText w:val="%2."/>
      <w:lvlJc w:val="left"/>
      <w:pPr>
        <w:ind w:left="1647" w:hanging="360"/>
      </w:pPr>
    </w:lvl>
    <w:lvl w:ilvl="2" w:tplc="0405001B" w:tentative="1">
      <w:start w:val="1"/>
      <w:numFmt w:val="lowerRoman"/>
      <w:lvlText w:val="%3."/>
      <w:lvlJc w:val="right"/>
      <w:pPr>
        <w:ind w:left="2367" w:hanging="180"/>
      </w:pPr>
    </w:lvl>
    <w:lvl w:ilvl="3" w:tplc="0405000F" w:tentative="1">
      <w:start w:val="1"/>
      <w:numFmt w:val="decimal"/>
      <w:lvlText w:val="%4."/>
      <w:lvlJc w:val="left"/>
      <w:pPr>
        <w:ind w:left="3087" w:hanging="360"/>
      </w:pPr>
    </w:lvl>
    <w:lvl w:ilvl="4" w:tplc="04050019" w:tentative="1">
      <w:start w:val="1"/>
      <w:numFmt w:val="lowerLetter"/>
      <w:lvlText w:val="%5."/>
      <w:lvlJc w:val="left"/>
      <w:pPr>
        <w:ind w:left="3807" w:hanging="360"/>
      </w:pPr>
    </w:lvl>
    <w:lvl w:ilvl="5" w:tplc="0405001B" w:tentative="1">
      <w:start w:val="1"/>
      <w:numFmt w:val="lowerRoman"/>
      <w:lvlText w:val="%6."/>
      <w:lvlJc w:val="right"/>
      <w:pPr>
        <w:ind w:left="4527" w:hanging="180"/>
      </w:pPr>
    </w:lvl>
    <w:lvl w:ilvl="6" w:tplc="0405000F" w:tentative="1">
      <w:start w:val="1"/>
      <w:numFmt w:val="decimal"/>
      <w:lvlText w:val="%7."/>
      <w:lvlJc w:val="left"/>
      <w:pPr>
        <w:ind w:left="5247" w:hanging="360"/>
      </w:pPr>
    </w:lvl>
    <w:lvl w:ilvl="7" w:tplc="04050019" w:tentative="1">
      <w:start w:val="1"/>
      <w:numFmt w:val="lowerLetter"/>
      <w:lvlText w:val="%8."/>
      <w:lvlJc w:val="left"/>
      <w:pPr>
        <w:ind w:left="5967" w:hanging="360"/>
      </w:pPr>
    </w:lvl>
    <w:lvl w:ilvl="8" w:tplc="0405001B" w:tentative="1">
      <w:start w:val="1"/>
      <w:numFmt w:val="lowerRoman"/>
      <w:lvlText w:val="%9."/>
      <w:lvlJc w:val="right"/>
      <w:pPr>
        <w:ind w:left="6687" w:hanging="180"/>
      </w:pPr>
    </w:lvl>
  </w:abstractNum>
  <w:abstractNum w:abstractNumId="4" w15:restartNumberingAfterBreak="0">
    <w:nsid w:val="19323769"/>
    <w:multiLevelType w:val="hybridMultilevel"/>
    <w:tmpl w:val="E66A073E"/>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5" w15:restartNumberingAfterBreak="0">
    <w:nsid w:val="3F2D5EE3"/>
    <w:multiLevelType w:val="multilevel"/>
    <w:tmpl w:val="04050025"/>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6" w15:restartNumberingAfterBreak="0">
    <w:nsid w:val="447A50DC"/>
    <w:multiLevelType w:val="hybridMultilevel"/>
    <w:tmpl w:val="B1C8E2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4D6A1E73"/>
    <w:multiLevelType w:val="hybridMultilevel"/>
    <w:tmpl w:val="C422F18C"/>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8" w15:restartNumberingAfterBreak="0">
    <w:nsid w:val="4DD548C3"/>
    <w:multiLevelType w:val="hybridMultilevel"/>
    <w:tmpl w:val="FFD2B658"/>
    <w:lvl w:ilvl="0" w:tplc="EAE4C1F2">
      <w:start w:val="1"/>
      <w:numFmt w:val="bullet"/>
      <w:lvlText w:val="-"/>
      <w:lvlJc w:val="left"/>
      <w:pPr>
        <w:ind w:left="720" w:hanging="360"/>
      </w:pPr>
      <w:rPr>
        <w:rFonts w:ascii="Aptos" w:hAnsi="Aptos" w:hint="default"/>
      </w:rPr>
    </w:lvl>
    <w:lvl w:ilvl="1" w:tplc="02801FBE">
      <w:start w:val="1"/>
      <w:numFmt w:val="bullet"/>
      <w:lvlText w:val="o"/>
      <w:lvlJc w:val="left"/>
      <w:pPr>
        <w:ind w:left="1440" w:hanging="360"/>
      </w:pPr>
      <w:rPr>
        <w:rFonts w:ascii="Courier New" w:hAnsi="Courier New" w:hint="default"/>
      </w:rPr>
    </w:lvl>
    <w:lvl w:ilvl="2" w:tplc="32D8D48E">
      <w:start w:val="1"/>
      <w:numFmt w:val="bullet"/>
      <w:lvlText w:val=""/>
      <w:lvlJc w:val="left"/>
      <w:pPr>
        <w:ind w:left="2160" w:hanging="360"/>
      </w:pPr>
      <w:rPr>
        <w:rFonts w:ascii="Wingdings" w:hAnsi="Wingdings" w:hint="default"/>
      </w:rPr>
    </w:lvl>
    <w:lvl w:ilvl="3" w:tplc="E2F46032">
      <w:start w:val="1"/>
      <w:numFmt w:val="bullet"/>
      <w:lvlText w:val=""/>
      <w:lvlJc w:val="left"/>
      <w:pPr>
        <w:ind w:left="2880" w:hanging="360"/>
      </w:pPr>
      <w:rPr>
        <w:rFonts w:ascii="Symbol" w:hAnsi="Symbol" w:hint="default"/>
      </w:rPr>
    </w:lvl>
    <w:lvl w:ilvl="4" w:tplc="EDC2DB52">
      <w:start w:val="1"/>
      <w:numFmt w:val="bullet"/>
      <w:lvlText w:val="o"/>
      <w:lvlJc w:val="left"/>
      <w:pPr>
        <w:ind w:left="3600" w:hanging="360"/>
      </w:pPr>
      <w:rPr>
        <w:rFonts w:ascii="Courier New" w:hAnsi="Courier New" w:hint="default"/>
      </w:rPr>
    </w:lvl>
    <w:lvl w:ilvl="5" w:tplc="89760D66">
      <w:start w:val="1"/>
      <w:numFmt w:val="bullet"/>
      <w:lvlText w:val=""/>
      <w:lvlJc w:val="left"/>
      <w:pPr>
        <w:ind w:left="4320" w:hanging="360"/>
      </w:pPr>
      <w:rPr>
        <w:rFonts w:ascii="Wingdings" w:hAnsi="Wingdings" w:hint="default"/>
      </w:rPr>
    </w:lvl>
    <w:lvl w:ilvl="6" w:tplc="709C74D6">
      <w:start w:val="1"/>
      <w:numFmt w:val="bullet"/>
      <w:lvlText w:val=""/>
      <w:lvlJc w:val="left"/>
      <w:pPr>
        <w:ind w:left="5040" w:hanging="360"/>
      </w:pPr>
      <w:rPr>
        <w:rFonts w:ascii="Symbol" w:hAnsi="Symbol" w:hint="default"/>
      </w:rPr>
    </w:lvl>
    <w:lvl w:ilvl="7" w:tplc="C4CAF408">
      <w:start w:val="1"/>
      <w:numFmt w:val="bullet"/>
      <w:lvlText w:val="o"/>
      <w:lvlJc w:val="left"/>
      <w:pPr>
        <w:ind w:left="5760" w:hanging="360"/>
      </w:pPr>
      <w:rPr>
        <w:rFonts w:ascii="Courier New" w:hAnsi="Courier New" w:hint="default"/>
      </w:rPr>
    </w:lvl>
    <w:lvl w:ilvl="8" w:tplc="58E4810A">
      <w:start w:val="1"/>
      <w:numFmt w:val="bullet"/>
      <w:lvlText w:val=""/>
      <w:lvlJc w:val="left"/>
      <w:pPr>
        <w:ind w:left="6480" w:hanging="360"/>
      </w:pPr>
      <w:rPr>
        <w:rFonts w:ascii="Wingdings" w:hAnsi="Wingdings" w:hint="default"/>
      </w:rPr>
    </w:lvl>
  </w:abstractNum>
  <w:abstractNum w:abstractNumId="9" w15:restartNumberingAfterBreak="0">
    <w:nsid w:val="5258222D"/>
    <w:multiLevelType w:val="hybridMultilevel"/>
    <w:tmpl w:val="D8BE9DD4"/>
    <w:lvl w:ilvl="0" w:tplc="7FC2B332">
      <w:start w:val="1"/>
      <w:numFmt w:val="decimal"/>
      <w:lvlText w:val="%1."/>
      <w:lvlJc w:val="left"/>
      <w:pPr>
        <w:ind w:left="720" w:hanging="360"/>
      </w:pPr>
    </w:lvl>
    <w:lvl w:ilvl="1" w:tplc="26A860EC">
      <w:start w:val="1"/>
      <w:numFmt w:val="upperRoman"/>
      <w:lvlText w:val="%2."/>
      <w:lvlJc w:val="right"/>
      <w:pPr>
        <w:ind w:left="1440" w:hanging="360"/>
      </w:pPr>
    </w:lvl>
    <w:lvl w:ilvl="2" w:tplc="ADD8A89A">
      <w:start w:val="1"/>
      <w:numFmt w:val="lowerRoman"/>
      <w:lvlText w:val="%3."/>
      <w:lvlJc w:val="right"/>
      <w:pPr>
        <w:ind w:left="2160" w:hanging="180"/>
      </w:pPr>
    </w:lvl>
    <w:lvl w:ilvl="3" w:tplc="B3729990">
      <w:start w:val="1"/>
      <w:numFmt w:val="decimal"/>
      <w:lvlText w:val="%4."/>
      <w:lvlJc w:val="left"/>
      <w:pPr>
        <w:ind w:left="2880" w:hanging="360"/>
      </w:pPr>
    </w:lvl>
    <w:lvl w:ilvl="4" w:tplc="C1AEB8D8">
      <w:start w:val="1"/>
      <w:numFmt w:val="lowerLetter"/>
      <w:lvlText w:val="%5."/>
      <w:lvlJc w:val="left"/>
      <w:pPr>
        <w:ind w:left="3600" w:hanging="360"/>
      </w:pPr>
    </w:lvl>
    <w:lvl w:ilvl="5" w:tplc="C7A2501A">
      <w:start w:val="1"/>
      <w:numFmt w:val="lowerRoman"/>
      <w:lvlText w:val="%6."/>
      <w:lvlJc w:val="right"/>
      <w:pPr>
        <w:ind w:left="4320" w:hanging="180"/>
      </w:pPr>
    </w:lvl>
    <w:lvl w:ilvl="6" w:tplc="7FD477FC">
      <w:start w:val="1"/>
      <w:numFmt w:val="decimal"/>
      <w:lvlText w:val="%7."/>
      <w:lvlJc w:val="left"/>
      <w:pPr>
        <w:ind w:left="5040" w:hanging="360"/>
      </w:pPr>
    </w:lvl>
    <w:lvl w:ilvl="7" w:tplc="857C5928">
      <w:start w:val="1"/>
      <w:numFmt w:val="lowerLetter"/>
      <w:lvlText w:val="%8."/>
      <w:lvlJc w:val="left"/>
      <w:pPr>
        <w:ind w:left="5760" w:hanging="360"/>
      </w:pPr>
    </w:lvl>
    <w:lvl w:ilvl="8" w:tplc="B8F4F51C">
      <w:start w:val="1"/>
      <w:numFmt w:val="lowerRoman"/>
      <w:lvlText w:val="%9."/>
      <w:lvlJc w:val="right"/>
      <w:pPr>
        <w:ind w:left="6480" w:hanging="180"/>
      </w:pPr>
    </w:lvl>
  </w:abstractNum>
  <w:abstractNum w:abstractNumId="10" w15:restartNumberingAfterBreak="0">
    <w:nsid w:val="599D34A5"/>
    <w:multiLevelType w:val="hybridMultilevel"/>
    <w:tmpl w:val="950C92FC"/>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1" w15:restartNumberingAfterBreak="0">
    <w:nsid w:val="5C8A75EB"/>
    <w:multiLevelType w:val="hybridMultilevel"/>
    <w:tmpl w:val="1EE457A6"/>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2" w15:restartNumberingAfterBreak="0">
    <w:nsid w:val="62040DCD"/>
    <w:multiLevelType w:val="multilevel"/>
    <w:tmpl w:val="69B83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8826FA"/>
    <w:multiLevelType w:val="hybridMultilevel"/>
    <w:tmpl w:val="D9C62A1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64736D92"/>
    <w:multiLevelType w:val="multilevel"/>
    <w:tmpl w:val="8202E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A16DA6"/>
    <w:multiLevelType w:val="hybridMultilevel"/>
    <w:tmpl w:val="C69A7F3C"/>
    <w:lvl w:ilvl="0" w:tplc="A81A718C">
      <w:start w:val="1"/>
      <w:numFmt w:val="bullet"/>
      <w:lvlText w:val=""/>
      <w:lvlJc w:val="left"/>
      <w:pPr>
        <w:ind w:left="720" w:hanging="360"/>
      </w:pPr>
      <w:rPr>
        <w:rFonts w:ascii="Symbol" w:hAnsi="Symbol" w:hint="default"/>
      </w:rPr>
    </w:lvl>
    <w:lvl w:ilvl="1" w:tplc="89BEB318">
      <w:start w:val="1"/>
      <w:numFmt w:val="bullet"/>
      <w:lvlText w:val="o"/>
      <w:lvlJc w:val="left"/>
      <w:pPr>
        <w:ind w:left="1440" w:hanging="360"/>
      </w:pPr>
      <w:rPr>
        <w:rFonts w:ascii="Courier New" w:hAnsi="Courier New" w:hint="default"/>
      </w:rPr>
    </w:lvl>
    <w:lvl w:ilvl="2" w:tplc="1C263AEA">
      <w:start w:val="1"/>
      <w:numFmt w:val="bullet"/>
      <w:lvlText w:val=""/>
      <w:lvlJc w:val="left"/>
      <w:pPr>
        <w:ind w:left="2160" w:hanging="360"/>
      </w:pPr>
      <w:rPr>
        <w:rFonts w:ascii="Wingdings" w:hAnsi="Wingdings" w:hint="default"/>
      </w:rPr>
    </w:lvl>
    <w:lvl w:ilvl="3" w:tplc="A20635CC">
      <w:start w:val="1"/>
      <w:numFmt w:val="bullet"/>
      <w:lvlText w:val=""/>
      <w:lvlJc w:val="left"/>
      <w:pPr>
        <w:ind w:left="2880" w:hanging="360"/>
      </w:pPr>
      <w:rPr>
        <w:rFonts w:ascii="Symbol" w:hAnsi="Symbol" w:hint="default"/>
      </w:rPr>
    </w:lvl>
    <w:lvl w:ilvl="4" w:tplc="4A04C992">
      <w:start w:val="1"/>
      <w:numFmt w:val="bullet"/>
      <w:lvlText w:val="o"/>
      <w:lvlJc w:val="left"/>
      <w:pPr>
        <w:ind w:left="3600" w:hanging="360"/>
      </w:pPr>
      <w:rPr>
        <w:rFonts w:ascii="Courier New" w:hAnsi="Courier New" w:hint="default"/>
      </w:rPr>
    </w:lvl>
    <w:lvl w:ilvl="5" w:tplc="6DF277BC">
      <w:start w:val="1"/>
      <w:numFmt w:val="bullet"/>
      <w:lvlText w:val=""/>
      <w:lvlJc w:val="left"/>
      <w:pPr>
        <w:ind w:left="4320" w:hanging="360"/>
      </w:pPr>
      <w:rPr>
        <w:rFonts w:ascii="Wingdings" w:hAnsi="Wingdings" w:hint="default"/>
      </w:rPr>
    </w:lvl>
    <w:lvl w:ilvl="6" w:tplc="030EA320">
      <w:start w:val="1"/>
      <w:numFmt w:val="bullet"/>
      <w:lvlText w:val=""/>
      <w:lvlJc w:val="left"/>
      <w:pPr>
        <w:ind w:left="5040" w:hanging="360"/>
      </w:pPr>
      <w:rPr>
        <w:rFonts w:ascii="Symbol" w:hAnsi="Symbol" w:hint="default"/>
      </w:rPr>
    </w:lvl>
    <w:lvl w:ilvl="7" w:tplc="96002742">
      <w:start w:val="1"/>
      <w:numFmt w:val="bullet"/>
      <w:lvlText w:val="o"/>
      <w:lvlJc w:val="left"/>
      <w:pPr>
        <w:ind w:left="5760" w:hanging="360"/>
      </w:pPr>
      <w:rPr>
        <w:rFonts w:ascii="Courier New" w:hAnsi="Courier New" w:hint="default"/>
      </w:rPr>
    </w:lvl>
    <w:lvl w:ilvl="8" w:tplc="8138E7BE">
      <w:start w:val="1"/>
      <w:numFmt w:val="bullet"/>
      <w:lvlText w:val=""/>
      <w:lvlJc w:val="left"/>
      <w:pPr>
        <w:ind w:left="6480" w:hanging="360"/>
      </w:pPr>
      <w:rPr>
        <w:rFonts w:ascii="Wingdings" w:hAnsi="Wingdings" w:hint="default"/>
      </w:rPr>
    </w:lvl>
  </w:abstractNum>
  <w:abstractNum w:abstractNumId="16" w15:restartNumberingAfterBreak="0">
    <w:nsid w:val="68894D26"/>
    <w:multiLevelType w:val="hybridMultilevel"/>
    <w:tmpl w:val="7954121E"/>
    <w:lvl w:ilvl="0" w:tplc="46D47EAC">
      <w:start w:val="1"/>
      <w:numFmt w:val="bullet"/>
      <w:lvlText w:val=""/>
      <w:lvlJc w:val="left"/>
      <w:pPr>
        <w:ind w:left="720" w:hanging="360"/>
      </w:pPr>
      <w:rPr>
        <w:rFonts w:ascii="Symbol" w:hAnsi="Symbol" w:hint="default"/>
      </w:rPr>
    </w:lvl>
    <w:lvl w:ilvl="1" w:tplc="00645510">
      <w:start w:val="1"/>
      <w:numFmt w:val="bullet"/>
      <w:lvlText w:val="o"/>
      <w:lvlJc w:val="left"/>
      <w:pPr>
        <w:ind w:left="1440" w:hanging="360"/>
      </w:pPr>
      <w:rPr>
        <w:rFonts w:ascii="Courier New" w:hAnsi="Courier New" w:hint="default"/>
      </w:rPr>
    </w:lvl>
    <w:lvl w:ilvl="2" w:tplc="98846846">
      <w:start w:val="1"/>
      <w:numFmt w:val="bullet"/>
      <w:lvlText w:val=""/>
      <w:lvlJc w:val="left"/>
      <w:pPr>
        <w:ind w:left="2160" w:hanging="360"/>
      </w:pPr>
      <w:rPr>
        <w:rFonts w:ascii="Wingdings" w:hAnsi="Wingdings" w:hint="default"/>
      </w:rPr>
    </w:lvl>
    <w:lvl w:ilvl="3" w:tplc="D956659C">
      <w:start w:val="1"/>
      <w:numFmt w:val="bullet"/>
      <w:lvlText w:val=""/>
      <w:lvlJc w:val="left"/>
      <w:pPr>
        <w:ind w:left="2880" w:hanging="360"/>
      </w:pPr>
      <w:rPr>
        <w:rFonts w:ascii="Symbol" w:hAnsi="Symbol" w:hint="default"/>
      </w:rPr>
    </w:lvl>
    <w:lvl w:ilvl="4" w:tplc="A9E654BA">
      <w:start w:val="1"/>
      <w:numFmt w:val="bullet"/>
      <w:lvlText w:val="o"/>
      <w:lvlJc w:val="left"/>
      <w:pPr>
        <w:ind w:left="3600" w:hanging="360"/>
      </w:pPr>
      <w:rPr>
        <w:rFonts w:ascii="Courier New" w:hAnsi="Courier New" w:hint="default"/>
      </w:rPr>
    </w:lvl>
    <w:lvl w:ilvl="5" w:tplc="C9A43B56">
      <w:start w:val="1"/>
      <w:numFmt w:val="bullet"/>
      <w:lvlText w:val=""/>
      <w:lvlJc w:val="left"/>
      <w:pPr>
        <w:ind w:left="4320" w:hanging="360"/>
      </w:pPr>
      <w:rPr>
        <w:rFonts w:ascii="Wingdings" w:hAnsi="Wingdings" w:hint="default"/>
      </w:rPr>
    </w:lvl>
    <w:lvl w:ilvl="6" w:tplc="9FEA6EF8">
      <w:start w:val="1"/>
      <w:numFmt w:val="bullet"/>
      <w:lvlText w:val=""/>
      <w:lvlJc w:val="left"/>
      <w:pPr>
        <w:ind w:left="5040" w:hanging="360"/>
      </w:pPr>
      <w:rPr>
        <w:rFonts w:ascii="Symbol" w:hAnsi="Symbol" w:hint="default"/>
      </w:rPr>
    </w:lvl>
    <w:lvl w:ilvl="7" w:tplc="7DC8F77A">
      <w:start w:val="1"/>
      <w:numFmt w:val="bullet"/>
      <w:lvlText w:val="o"/>
      <w:lvlJc w:val="left"/>
      <w:pPr>
        <w:ind w:left="5760" w:hanging="360"/>
      </w:pPr>
      <w:rPr>
        <w:rFonts w:ascii="Courier New" w:hAnsi="Courier New" w:hint="default"/>
      </w:rPr>
    </w:lvl>
    <w:lvl w:ilvl="8" w:tplc="8D240AA4">
      <w:start w:val="1"/>
      <w:numFmt w:val="bullet"/>
      <w:lvlText w:val=""/>
      <w:lvlJc w:val="left"/>
      <w:pPr>
        <w:ind w:left="6480" w:hanging="360"/>
      </w:pPr>
      <w:rPr>
        <w:rFonts w:ascii="Wingdings" w:hAnsi="Wingdings" w:hint="default"/>
      </w:rPr>
    </w:lvl>
  </w:abstractNum>
  <w:abstractNum w:abstractNumId="17" w15:restartNumberingAfterBreak="0">
    <w:nsid w:val="6B4E55C4"/>
    <w:multiLevelType w:val="hybridMultilevel"/>
    <w:tmpl w:val="0D46919A"/>
    <w:lvl w:ilvl="0" w:tplc="04050001">
      <w:start w:val="1"/>
      <w:numFmt w:val="bullet"/>
      <w:lvlText w:val=""/>
      <w:lvlJc w:val="left"/>
      <w:pPr>
        <w:ind w:left="1080" w:hanging="360"/>
      </w:pPr>
      <w:rPr>
        <w:rFonts w:ascii="Symbol" w:hAnsi="Symbol"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18" w15:restartNumberingAfterBreak="0">
    <w:nsid w:val="75F939BA"/>
    <w:multiLevelType w:val="hybridMultilevel"/>
    <w:tmpl w:val="CEE22FDC"/>
    <w:lvl w:ilvl="0" w:tplc="941A5420">
      <w:start w:val="1"/>
      <w:numFmt w:val="bullet"/>
      <w:lvlText w:val=""/>
      <w:lvlJc w:val="left"/>
      <w:pPr>
        <w:ind w:left="720" w:hanging="360"/>
      </w:pPr>
      <w:rPr>
        <w:rFonts w:ascii="Symbol" w:hAnsi="Symbol" w:hint="default"/>
      </w:rPr>
    </w:lvl>
    <w:lvl w:ilvl="1" w:tplc="DC7E927A">
      <w:start w:val="1"/>
      <w:numFmt w:val="bullet"/>
      <w:lvlText w:val="o"/>
      <w:lvlJc w:val="left"/>
      <w:pPr>
        <w:ind w:left="1440" w:hanging="360"/>
      </w:pPr>
      <w:rPr>
        <w:rFonts w:ascii="Courier New" w:hAnsi="Courier New" w:hint="default"/>
      </w:rPr>
    </w:lvl>
    <w:lvl w:ilvl="2" w:tplc="B870321E">
      <w:start w:val="1"/>
      <w:numFmt w:val="bullet"/>
      <w:lvlText w:val=""/>
      <w:lvlJc w:val="left"/>
      <w:pPr>
        <w:ind w:left="2160" w:hanging="360"/>
      </w:pPr>
      <w:rPr>
        <w:rFonts w:ascii="Wingdings" w:hAnsi="Wingdings" w:hint="default"/>
      </w:rPr>
    </w:lvl>
    <w:lvl w:ilvl="3" w:tplc="F92A6A80">
      <w:start w:val="1"/>
      <w:numFmt w:val="bullet"/>
      <w:lvlText w:val=""/>
      <w:lvlJc w:val="left"/>
      <w:pPr>
        <w:ind w:left="2880" w:hanging="360"/>
      </w:pPr>
      <w:rPr>
        <w:rFonts w:ascii="Symbol" w:hAnsi="Symbol" w:hint="default"/>
      </w:rPr>
    </w:lvl>
    <w:lvl w:ilvl="4" w:tplc="3E32904E">
      <w:start w:val="1"/>
      <w:numFmt w:val="bullet"/>
      <w:lvlText w:val="o"/>
      <w:lvlJc w:val="left"/>
      <w:pPr>
        <w:ind w:left="3600" w:hanging="360"/>
      </w:pPr>
      <w:rPr>
        <w:rFonts w:ascii="Courier New" w:hAnsi="Courier New" w:hint="default"/>
      </w:rPr>
    </w:lvl>
    <w:lvl w:ilvl="5" w:tplc="752CBD90">
      <w:start w:val="1"/>
      <w:numFmt w:val="bullet"/>
      <w:lvlText w:val=""/>
      <w:lvlJc w:val="left"/>
      <w:pPr>
        <w:ind w:left="4320" w:hanging="360"/>
      </w:pPr>
      <w:rPr>
        <w:rFonts w:ascii="Wingdings" w:hAnsi="Wingdings" w:hint="default"/>
      </w:rPr>
    </w:lvl>
    <w:lvl w:ilvl="6" w:tplc="CA7EFE86">
      <w:start w:val="1"/>
      <w:numFmt w:val="bullet"/>
      <w:lvlText w:val=""/>
      <w:lvlJc w:val="left"/>
      <w:pPr>
        <w:ind w:left="5040" w:hanging="360"/>
      </w:pPr>
      <w:rPr>
        <w:rFonts w:ascii="Symbol" w:hAnsi="Symbol" w:hint="default"/>
      </w:rPr>
    </w:lvl>
    <w:lvl w:ilvl="7" w:tplc="EBB0432A">
      <w:start w:val="1"/>
      <w:numFmt w:val="bullet"/>
      <w:lvlText w:val="o"/>
      <w:lvlJc w:val="left"/>
      <w:pPr>
        <w:ind w:left="5760" w:hanging="360"/>
      </w:pPr>
      <w:rPr>
        <w:rFonts w:ascii="Courier New" w:hAnsi="Courier New" w:hint="default"/>
      </w:rPr>
    </w:lvl>
    <w:lvl w:ilvl="8" w:tplc="F8E4F9A8">
      <w:start w:val="1"/>
      <w:numFmt w:val="bullet"/>
      <w:lvlText w:val=""/>
      <w:lvlJc w:val="left"/>
      <w:pPr>
        <w:ind w:left="6480" w:hanging="360"/>
      </w:pPr>
      <w:rPr>
        <w:rFonts w:ascii="Wingdings" w:hAnsi="Wingdings" w:hint="default"/>
      </w:rPr>
    </w:lvl>
  </w:abstractNum>
  <w:num w:numId="1" w16cid:durableId="763767296">
    <w:abstractNumId w:val="18"/>
  </w:num>
  <w:num w:numId="2" w16cid:durableId="1363093211">
    <w:abstractNumId w:val="8"/>
  </w:num>
  <w:num w:numId="3" w16cid:durableId="1129013460">
    <w:abstractNumId w:val="9"/>
  </w:num>
  <w:num w:numId="4" w16cid:durableId="1877815893">
    <w:abstractNumId w:val="0"/>
  </w:num>
  <w:num w:numId="5" w16cid:durableId="1056930622">
    <w:abstractNumId w:val="15"/>
  </w:num>
  <w:num w:numId="6" w16cid:durableId="945768573">
    <w:abstractNumId w:val="16"/>
  </w:num>
  <w:num w:numId="7" w16cid:durableId="1204902910">
    <w:abstractNumId w:val="14"/>
  </w:num>
  <w:num w:numId="8" w16cid:durableId="1140266804">
    <w:abstractNumId w:val="12"/>
  </w:num>
  <w:num w:numId="9" w16cid:durableId="156893879">
    <w:abstractNumId w:val="10"/>
  </w:num>
  <w:num w:numId="10" w16cid:durableId="920408146">
    <w:abstractNumId w:val="4"/>
  </w:num>
  <w:num w:numId="11" w16cid:durableId="1573155235">
    <w:abstractNumId w:val="11"/>
  </w:num>
  <w:num w:numId="12" w16cid:durableId="1659387155">
    <w:abstractNumId w:val="6"/>
  </w:num>
  <w:num w:numId="13" w16cid:durableId="1470126914">
    <w:abstractNumId w:val="5"/>
  </w:num>
  <w:num w:numId="14" w16cid:durableId="479225592">
    <w:abstractNumId w:val="1"/>
  </w:num>
  <w:num w:numId="15" w16cid:durableId="524753219">
    <w:abstractNumId w:val="7"/>
  </w:num>
  <w:num w:numId="16" w16cid:durableId="788742695">
    <w:abstractNumId w:val="2"/>
  </w:num>
  <w:num w:numId="17" w16cid:durableId="293407832">
    <w:abstractNumId w:val="5"/>
    <w:lvlOverride w:ilvl="0">
      <w:startOverride w:val="1"/>
    </w:lvlOverride>
    <w:lvlOverride w:ilvl="1">
      <w:startOverride w:val="3"/>
    </w:lvlOverride>
  </w:num>
  <w:num w:numId="18" w16cid:durableId="917597257">
    <w:abstractNumId w:val="17"/>
  </w:num>
  <w:num w:numId="19" w16cid:durableId="78453283">
    <w:abstractNumId w:val="3"/>
  </w:num>
  <w:num w:numId="20" w16cid:durableId="2106000352">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08F"/>
    <w:rsid w:val="000010BE"/>
    <w:rsid w:val="00003B4C"/>
    <w:rsid w:val="00026367"/>
    <w:rsid w:val="00027A27"/>
    <w:rsid w:val="00032A5F"/>
    <w:rsid w:val="00061341"/>
    <w:rsid w:val="000728FA"/>
    <w:rsid w:val="000946CB"/>
    <w:rsid w:val="000A0176"/>
    <w:rsid w:val="000A1709"/>
    <w:rsid w:val="000B7D62"/>
    <w:rsid w:val="000C1B04"/>
    <w:rsid w:val="000C7A63"/>
    <w:rsid w:val="000D5CBF"/>
    <w:rsid w:val="000F63D3"/>
    <w:rsid w:val="001011F3"/>
    <w:rsid w:val="00101731"/>
    <w:rsid w:val="00102CDF"/>
    <w:rsid w:val="0011609F"/>
    <w:rsid w:val="00127A89"/>
    <w:rsid w:val="00133327"/>
    <w:rsid w:val="00134173"/>
    <w:rsid w:val="00142454"/>
    <w:rsid w:val="001462CA"/>
    <w:rsid w:val="00153C3B"/>
    <w:rsid w:val="0016102A"/>
    <w:rsid w:val="001643A3"/>
    <w:rsid w:val="00166B12"/>
    <w:rsid w:val="00175EE9"/>
    <w:rsid w:val="00183F5F"/>
    <w:rsid w:val="0019146E"/>
    <w:rsid w:val="001A0724"/>
    <w:rsid w:val="001A1922"/>
    <w:rsid w:val="001C5F14"/>
    <w:rsid w:val="001C787D"/>
    <w:rsid w:val="001F2421"/>
    <w:rsid w:val="002032FE"/>
    <w:rsid w:val="00207D52"/>
    <w:rsid w:val="002167FA"/>
    <w:rsid w:val="00222894"/>
    <w:rsid w:val="0023457C"/>
    <w:rsid w:val="00247B25"/>
    <w:rsid w:val="002503C3"/>
    <w:rsid w:val="002549B5"/>
    <w:rsid w:val="00261FA1"/>
    <w:rsid w:val="002748BF"/>
    <w:rsid w:val="002803C5"/>
    <w:rsid w:val="0028152F"/>
    <w:rsid w:val="002949D9"/>
    <w:rsid w:val="00294F84"/>
    <w:rsid w:val="002960DB"/>
    <w:rsid w:val="00296425"/>
    <w:rsid w:val="002A0979"/>
    <w:rsid w:val="002B2981"/>
    <w:rsid w:val="002C2988"/>
    <w:rsid w:val="002E6704"/>
    <w:rsid w:val="00306956"/>
    <w:rsid w:val="00316D85"/>
    <w:rsid w:val="00324699"/>
    <w:rsid w:val="00330D3C"/>
    <w:rsid w:val="003346EC"/>
    <w:rsid w:val="00335451"/>
    <w:rsid w:val="003434B5"/>
    <w:rsid w:val="00345A3A"/>
    <w:rsid w:val="003464D6"/>
    <w:rsid w:val="003502ED"/>
    <w:rsid w:val="003520D1"/>
    <w:rsid w:val="00370089"/>
    <w:rsid w:val="00370988"/>
    <w:rsid w:val="0037334D"/>
    <w:rsid w:val="00385BC7"/>
    <w:rsid w:val="003A1B63"/>
    <w:rsid w:val="003A3E80"/>
    <w:rsid w:val="003B0F1F"/>
    <w:rsid w:val="003B41A2"/>
    <w:rsid w:val="003C2D3B"/>
    <w:rsid w:val="003D3C6C"/>
    <w:rsid w:val="003D4420"/>
    <w:rsid w:val="003D7C3C"/>
    <w:rsid w:val="003E0A03"/>
    <w:rsid w:val="003E36E8"/>
    <w:rsid w:val="003F1B7D"/>
    <w:rsid w:val="003F4DA7"/>
    <w:rsid w:val="00400B88"/>
    <w:rsid w:val="004108C4"/>
    <w:rsid w:val="004239F6"/>
    <w:rsid w:val="004424E9"/>
    <w:rsid w:val="004532F6"/>
    <w:rsid w:val="004602BF"/>
    <w:rsid w:val="004608F2"/>
    <w:rsid w:val="00461530"/>
    <w:rsid w:val="00464D37"/>
    <w:rsid w:val="00477899"/>
    <w:rsid w:val="00480848"/>
    <w:rsid w:val="00481842"/>
    <w:rsid w:val="004834F9"/>
    <w:rsid w:val="004903BB"/>
    <w:rsid w:val="0049598A"/>
    <w:rsid w:val="004A3F84"/>
    <w:rsid w:val="004A4BDA"/>
    <w:rsid w:val="004A72F7"/>
    <w:rsid w:val="004B3ED3"/>
    <w:rsid w:val="004B65BA"/>
    <w:rsid w:val="004D25BB"/>
    <w:rsid w:val="004D3F01"/>
    <w:rsid w:val="004D77AA"/>
    <w:rsid w:val="004E073B"/>
    <w:rsid w:val="004E0B6B"/>
    <w:rsid w:val="004E60A4"/>
    <w:rsid w:val="004E6D89"/>
    <w:rsid w:val="004F5B02"/>
    <w:rsid w:val="005010FA"/>
    <w:rsid w:val="00501F5C"/>
    <w:rsid w:val="00503BFC"/>
    <w:rsid w:val="00512459"/>
    <w:rsid w:val="00515339"/>
    <w:rsid w:val="00515B76"/>
    <w:rsid w:val="0051714D"/>
    <w:rsid w:val="00531C48"/>
    <w:rsid w:val="00533512"/>
    <w:rsid w:val="00537943"/>
    <w:rsid w:val="0054002B"/>
    <w:rsid w:val="00550B30"/>
    <w:rsid w:val="00560FFB"/>
    <w:rsid w:val="00565052"/>
    <w:rsid w:val="0058182F"/>
    <w:rsid w:val="00583D25"/>
    <w:rsid w:val="0058627B"/>
    <w:rsid w:val="005A0A69"/>
    <w:rsid w:val="005A0FC9"/>
    <w:rsid w:val="005A3F69"/>
    <w:rsid w:val="005A4F94"/>
    <w:rsid w:val="005A6C2C"/>
    <w:rsid w:val="005A6E44"/>
    <w:rsid w:val="005D37DE"/>
    <w:rsid w:val="005E2EBD"/>
    <w:rsid w:val="005E765A"/>
    <w:rsid w:val="005F70B2"/>
    <w:rsid w:val="006060B7"/>
    <w:rsid w:val="006060C1"/>
    <w:rsid w:val="006136D9"/>
    <w:rsid w:val="0061BFC3"/>
    <w:rsid w:val="00622B6C"/>
    <w:rsid w:val="0063385F"/>
    <w:rsid w:val="00644157"/>
    <w:rsid w:val="00661DBD"/>
    <w:rsid w:val="00662F1C"/>
    <w:rsid w:val="00663DF7"/>
    <w:rsid w:val="006727FE"/>
    <w:rsid w:val="0067370F"/>
    <w:rsid w:val="0069379A"/>
    <w:rsid w:val="00697B2F"/>
    <w:rsid w:val="006A1B40"/>
    <w:rsid w:val="006B2D87"/>
    <w:rsid w:val="006C1567"/>
    <w:rsid w:val="006D5125"/>
    <w:rsid w:val="006F13F7"/>
    <w:rsid w:val="006F5146"/>
    <w:rsid w:val="007049C2"/>
    <w:rsid w:val="007053FB"/>
    <w:rsid w:val="007060EC"/>
    <w:rsid w:val="007270A7"/>
    <w:rsid w:val="00737B2E"/>
    <w:rsid w:val="007447D4"/>
    <w:rsid w:val="00751E35"/>
    <w:rsid w:val="00756BA3"/>
    <w:rsid w:val="0075E326"/>
    <w:rsid w:val="0076372D"/>
    <w:rsid w:val="0078013D"/>
    <w:rsid w:val="00782BA1"/>
    <w:rsid w:val="007858C9"/>
    <w:rsid w:val="007A0E0D"/>
    <w:rsid w:val="007A2FAC"/>
    <w:rsid w:val="007A3CF3"/>
    <w:rsid w:val="007B0A31"/>
    <w:rsid w:val="007B512F"/>
    <w:rsid w:val="007D0A97"/>
    <w:rsid w:val="007D7F6B"/>
    <w:rsid w:val="007E7703"/>
    <w:rsid w:val="00814F35"/>
    <w:rsid w:val="00815D93"/>
    <w:rsid w:val="00827F61"/>
    <w:rsid w:val="008335D2"/>
    <w:rsid w:val="008367EE"/>
    <w:rsid w:val="00840FB4"/>
    <w:rsid w:val="008423CB"/>
    <w:rsid w:val="008448DD"/>
    <w:rsid w:val="00853035"/>
    <w:rsid w:val="00855B51"/>
    <w:rsid w:val="00874B53"/>
    <w:rsid w:val="0088631D"/>
    <w:rsid w:val="00886618"/>
    <w:rsid w:val="008872C4"/>
    <w:rsid w:val="00895384"/>
    <w:rsid w:val="008A560A"/>
    <w:rsid w:val="008B38A0"/>
    <w:rsid w:val="008B4734"/>
    <w:rsid w:val="008C4FDC"/>
    <w:rsid w:val="008C5C0B"/>
    <w:rsid w:val="008C7C6A"/>
    <w:rsid w:val="008E16C6"/>
    <w:rsid w:val="008E642B"/>
    <w:rsid w:val="008F4D6F"/>
    <w:rsid w:val="00914EF9"/>
    <w:rsid w:val="00916E40"/>
    <w:rsid w:val="00916EC3"/>
    <w:rsid w:val="009216E8"/>
    <w:rsid w:val="00924421"/>
    <w:rsid w:val="00930377"/>
    <w:rsid w:val="00932287"/>
    <w:rsid w:val="0094520E"/>
    <w:rsid w:val="0095267B"/>
    <w:rsid w:val="0095364E"/>
    <w:rsid w:val="00970602"/>
    <w:rsid w:val="0099202D"/>
    <w:rsid w:val="00994450"/>
    <w:rsid w:val="00994A08"/>
    <w:rsid w:val="009A3FB7"/>
    <w:rsid w:val="009A4F66"/>
    <w:rsid w:val="009B112A"/>
    <w:rsid w:val="009B7B99"/>
    <w:rsid w:val="009D478C"/>
    <w:rsid w:val="009D7C4B"/>
    <w:rsid w:val="009F243E"/>
    <w:rsid w:val="00A06791"/>
    <w:rsid w:val="00A1316D"/>
    <w:rsid w:val="00A24898"/>
    <w:rsid w:val="00A309C0"/>
    <w:rsid w:val="00A42584"/>
    <w:rsid w:val="00A44CF0"/>
    <w:rsid w:val="00A5116C"/>
    <w:rsid w:val="00A54E02"/>
    <w:rsid w:val="00A55378"/>
    <w:rsid w:val="00A565E6"/>
    <w:rsid w:val="00A625BE"/>
    <w:rsid w:val="00A65BD1"/>
    <w:rsid w:val="00A74931"/>
    <w:rsid w:val="00A820A2"/>
    <w:rsid w:val="00AA314B"/>
    <w:rsid w:val="00AB22BE"/>
    <w:rsid w:val="00AB3AF6"/>
    <w:rsid w:val="00AB3B1C"/>
    <w:rsid w:val="00AD11AE"/>
    <w:rsid w:val="00AD307F"/>
    <w:rsid w:val="00AD7CD0"/>
    <w:rsid w:val="00AF0805"/>
    <w:rsid w:val="00AF584D"/>
    <w:rsid w:val="00B02965"/>
    <w:rsid w:val="00B0477B"/>
    <w:rsid w:val="00B06265"/>
    <w:rsid w:val="00B065E1"/>
    <w:rsid w:val="00B10832"/>
    <w:rsid w:val="00B17E1F"/>
    <w:rsid w:val="00B27888"/>
    <w:rsid w:val="00B3052D"/>
    <w:rsid w:val="00B32EA7"/>
    <w:rsid w:val="00B36829"/>
    <w:rsid w:val="00B375C5"/>
    <w:rsid w:val="00B5500C"/>
    <w:rsid w:val="00B56DF7"/>
    <w:rsid w:val="00B609AB"/>
    <w:rsid w:val="00B63F5A"/>
    <w:rsid w:val="00B72E17"/>
    <w:rsid w:val="00B74E74"/>
    <w:rsid w:val="00B979C2"/>
    <w:rsid w:val="00BA05B7"/>
    <w:rsid w:val="00BA1AD8"/>
    <w:rsid w:val="00BB1260"/>
    <w:rsid w:val="00BC0FEE"/>
    <w:rsid w:val="00BC152E"/>
    <w:rsid w:val="00BC2E58"/>
    <w:rsid w:val="00BC7347"/>
    <w:rsid w:val="00BD2F84"/>
    <w:rsid w:val="00BF5D22"/>
    <w:rsid w:val="00BF696F"/>
    <w:rsid w:val="00C00A93"/>
    <w:rsid w:val="00C03A51"/>
    <w:rsid w:val="00C11B13"/>
    <w:rsid w:val="00C13695"/>
    <w:rsid w:val="00C178A0"/>
    <w:rsid w:val="00C43F9E"/>
    <w:rsid w:val="00C446DC"/>
    <w:rsid w:val="00C46A93"/>
    <w:rsid w:val="00C52E10"/>
    <w:rsid w:val="00C55746"/>
    <w:rsid w:val="00C61008"/>
    <w:rsid w:val="00C672ED"/>
    <w:rsid w:val="00C752DA"/>
    <w:rsid w:val="00C842B2"/>
    <w:rsid w:val="00C842F4"/>
    <w:rsid w:val="00C84584"/>
    <w:rsid w:val="00C922DA"/>
    <w:rsid w:val="00C92C76"/>
    <w:rsid w:val="00C943B2"/>
    <w:rsid w:val="00C965AC"/>
    <w:rsid w:val="00CA0132"/>
    <w:rsid w:val="00CA432A"/>
    <w:rsid w:val="00CA587C"/>
    <w:rsid w:val="00CB25AE"/>
    <w:rsid w:val="00CC7FE2"/>
    <w:rsid w:val="00CE004F"/>
    <w:rsid w:val="00CF1A10"/>
    <w:rsid w:val="00CF6BD1"/>
    <w:rsid w:val="00D02E65"/>
    <w:rsid w:val="00D032C3"/>
    <w:rsid w:val="00D05C55"/>
    <w:rsid w:val="00D10C55"/>
    <w:rsid w:val="00D12AD5"/>
    <w:rsid w:val="00D13DBB"/>
    <w:rsid w:val="00D1638F"/>
    <w:rsid w:val="00D17A92"/>
    <w:rsid w:val="00D17B75"/>
    <w:rsid w:val="00D35A64"/>
    <w:rsid w:val="00D36AC2"/>
    <w:rsid w:val="00D41454"/>
    <w:rsid w:val="00D44CB8"/>
    <w:rsid w:val="00D51041"/>
    <w:rsid w:val="00D52C11"/>
    <w:rsid w:val="00D71334"/>
    <w:rsid w:val="00D71E9D"/>
    <w:rsid w:val="00D8608F"/>
    <w:rsid w:val="00D9130A"/>
    <w:rsid w:val="00D92107"/>
    <w:rsid w:val="00D97EEA"/>
    <w:rsid w:val="00DA33FA"/>
    <w:rsid w:val="00DA510E"/>
    <w:rsid w:val="00DA6309"/>
    <w:rsid w:val="00DA6A56"/>
    <w:rsid w:val="00DC1051"/>
    <w:rsid w:val="00DD3F53"/>
    <w:rsid w:val="00DD6415"/>
    <w:rsid w:val="00DD70F3"/>
    <w:rsid w:val="00DE1E35"/>
    <w:rsid w:val="00DE722C"/>
    <w:rsid w:val="00E00703"/>
    <w:rsid w:val="00E00D74"/>
    <w:rsid w:val="00E12651"/>
    <w:rsid w:val="00E1285B"/>
    <w:rsid w:val="00E35358"/>
    <w:rsid w:val="00E42548"/>
    <w:rsid w:val="00E44A35"/>
    <w:rsid w:val="00E50114"/>
    <w:rsid w:val="00E64150"/>
    <w:rsid w:val="00E645D4"/>
    <w:rsid w:val="00E82093"/>
    <w:rsid w:val="00E96331"/>
    <w:rsid w:val="00EA3F0E"/>
    <w:rsid w:val="00EB0441"/>
    <w:rsid w:val="00EB1665"/>
    <w:rsid w:val="00EB33B9"/>
    <w:rsid w:val="00EC3757"/>
    <w:rsid w:val="00EC7FD1"/>
    <w:rsid w:val="00ED0768"/>
    <w:rsid w:val="00ED7852"/>
    <w:rsid w:val="00ED78C8"/>
    <w:rsid w:val="00EE2C28"/>
    <w:rsid w:val="00EE7E28"/>
    <w:rsid w:val="00F03ECB"/>
    <w:rsid w:val="00F11439"/>
    <w:rsid w:val="00F22F69"/>
    <w:rsid w:val="00F37858"/>
    <w:rsid w:val="00F52EC3"/>
    <w:rsid w:val="00F57FF2"/>
    <w:rsid w:val="00F7089C"/>
    <w:rsid w:val="00F73626"/>
    <w:rsid w:val="00F77AAA"/>
    <w:rsid w:val="00F87DB5"/>
    <w:rsid w:val="00F9052E"/>
    <w:rsid w:val="00F9570E"/>
    <w:rsid w:val="00F957C9"/>
    <w:rsid w:val="00FB13CD"/>
    <w:rsid w:val="00FB31DC"/>
    <w:rsid w:val="00FC3B62"/>
    <w:rsid w:val="00FC75B1"/>
    <w:rsid w:val="00FD0755"/>
    <w:rsid w:val="00FF01DA"/>
    <w:rsid w:val="013AEADF"/>
    <w:rsid w:val="01A0E63B"/>
    <w:rsid w:val="01B05749"/>
    <w:rsid w:val="01C0CB4B"/>
    <w:rsid w:val="01F92036"/>
    <w:rsid w:val="020760FA"/>
    <w:rsid w:val="02DB943A"/>
    <w:rsid w:val="034C28CC"/>
    <w:rsid w:val="03C5F8B1"/>
    <w:rsid w:val="03FC84C9"/>
    <w:rsid w:val="040A9247"/>
    <w:rsid w:val="040F8F6E"/>
    <w:rsid w:val="0417F630"/>
    <w:rsid w:val="041DBF49"/>
    <w:rsid w:val="0529AF16"/>
    <w:rsid w:val="055B6BE6"/>
    <w:rsid w:val="0574F33B"/>
    <w:rsid w:val="058D4F41"/>
    <w:rsid w:val="06066025"/>
    <w:rsid w:val="060AA372"/>
    <w:rsid w:val="06278328"/>
    <w:rsid w:val="0683DFA1"/>
    <w:rsid w:val="06849B84"/>
    <w:rsid w:val="0704B498"/>
    <w:rsid w:val="071DF478"/>
    <w:rsid w:val="0739D5E4"/>
    <w:rsid w:val="075C732A"/>
    <w:rsid w:val="07F7307A"/>
    <w:rsid w:val="08653495"/>
    <w:rsid w:val="0896AE48"/>
    <w:rsid w:val="09CDCF7D"/>
    <w:rsid w:val="09DE5361"/>
    <w:rsid w:val="09EFF519"/>
    <w:rsid w:val="0AC01724"/>
    <w:rsid w:val="0AE0C1D6"/>
    <w:rsid w:val="0B488BE4"/>
    <w:rsid w:val="0BA54198"/>
    <w:rsid w:val="0BAEB2AF"/>
    <w:rsid w:val="0BB0BC6C"/>
    <w:rsid w:val="0C19A6E1"/>
    <w:rsid w:val="0C475146"/>
    <w:rsid w:val="0C493B4C"/>
    <w:rsid w:val="0C4BA69C"/>
    <w:rsid w:val="0D98AFA3"/>
    <w:rsid w:val="0DD58717"/>
    <w:rsid w:val="0E701783"/>
    <w:rsid w:val="0F260DBB"/>
    <w:rsid w:val="0FB2B229"/>
    <w:rsid w:val="0FB6989B"/>
    <w:rsid w:val="0FC193A4"/>
    <w:rsid w:val="0FC8FD2A"/>
    <w:rsid w:val="0FE323D7"/>
    <w:rsid w:val="0FE46000"/>
    <w:rsid w:val="0FFB8311"/>
    <w:rsid w:val="10123246"/>
    <w:rsid w:val="10612A28"/>
    <w:rsid w:val="10668339"/>
    <w:rsid w:val="10DEB142"/>
    <w:rsid w:val="10E2BFFF"/>
    <w:rsid w:val="119381D0"/>
    <w:rsid w:val="11ADCC8A"/>
    <w:rsid w:val="11DEBF03"/>
    <w:rsid w:val="121DAB73"/>
    <w:rsid w:val="1257077C"/>
    <w:rsid w:val="127B8FC2"/>
    <w:rsid w:val="12A4A77C"/>
    <w:rsid w:val="13FA9548"/>
    <w:rsid w:val="14826601"/>
    <w:rsid w:val="15159D02"/>
    <w:rsid w:val="1532FB14"/>
    <w:rsid w:val="15467B4A"/>
    <w:rsid w:val="1736B0D8"/>
    <w:rsid w:val="1779B0F9"/>
    <w:rsid w:val="184E8B7F"/>
    <w:rsid w:val="18533FBD"/>
    <w:rsid w:val="18DAE32C"/>
    <w:rsid w:val="18FACDC2"/>
    <w:rsid w:val="1A0AA5A7"/>
    <w:rsid w:val="1A2080EE"/>
    <w:rsid w:val="1A2EAAA8"/>
    <w:rsid w:val="1AC74D8A"/>
    <w:rsid w:val="1B14D6E4"/>
    <w:rsid w:val="1B4D6831"/>
    <w:rsid w:val="1B837F80"/>
    <w:rsid w:val="1BD01390"/>
    <w:rsid w:val="1BE6422D"/>
    <w:rsid w:val="1BE6D8E2"/>
    <w:rsid w:val="1C2E0C3E"/>
    <w:rsid w:val="1D1AF8CA"/>
    <w:rsid w:val="1D9833F6"/>
    <w:rsid w:val="1DAAEFCC"/>
    <w:rsid w:val="1E5BE8B8"/>
    <w:rsid w:val="1E669D64"/>
    <w:rsid w:val="1E9A20D6"/>
    <w:rsid w:val="1F3B341F"/>
    <w:rsid w:val="1F73A49B"/>
    <w:rsid w:val="1F7F5F20"/>
    <w:rsid w:val="1FF9844E"/>
    <w:rsid w:val="20AB4B58"/>
    <w:rsid w:val="2142B8CF"/>
    <w:rsid w:val="21486B3B"/>
    <w:rsid w:val="2237E07D"/>
    <w:rsid w:val="22B2F71B"/>
    <w:rsid w:val="22BB5CEE"/>
    <w:rsid w:val="2357E2D0"/>
    <w:rsid w:val="239ECD6F"/>
    <w:rsid w:val="23D6FEB2"/>
    <w:rsid w:val="242BCD85"/>
    <w:rsid w:val="2453FD2E"/>
    <w:rsid w:val="24EA44B8"/>
    <w:rsid w:val="2507B756"/>
    <w:rsid w:val="250EEAAA"/>
    <w:rsid w:val="2533AD6F"/>
    <w:rsid w:val="261864E3"/>
    <w:rsid w:val="265152AA"/>
    <w:rsid w:val="266C17B5"/>
    <w:rsid w:val="26A88A69"/>
    <w:rsid w:val="270FDABC"/>
    <w:rsid w:val="2748C73A"/>
    <w:rsid w:val="27BF3959"/>
    <w:rsid w:val="28220D28"/>
    <w:rsid w:val="2850819B"/>
    <w:rsid w:val="290FC6EC"/>
    <w:rsid w:val="293098DC"/>
    <w:rsid w:val="2972CA16"/>
    <w:rsid w:val="2A5D071C"/>
    <w:rsid w:val="2ADDE1A8"/>
    <w:rsid w:val="2B1A1E6F"/>
    <w:rsid w:val="2C1B0174"/>
    <w:rsid w:val="2CD9E3D0"/>
    <w:rsid w:val="2CEE68F1"/>
    <w:rsid w:val="2D274E21"/>
    <w:rsid w:val="2D33331D"/>
    <w:rsid w:val="2DA9869A"/>
    <w:rsid w:val="2DD6EAAA"/>
    <w:rsid w:val="2EED3E88"/>
    <w:rsid w:val="2F39E5AA"/>
    <w:rsid w:val="2F81AD4E"/>
    <w:rsid w:val="2FA473A3"/>
    <w:rsid w:val="2FAE6323"/>
    <w:rsid w:val="306A71CB"/>
    <w:rsid w:val="307AFB77"/>
    <w:rsid w:val="31854946"/>
    <w:rsid w:val="31D82814"/>
    <w:rsid w:val="329A1BCC"/>
    <w:rsid w:val="32B554D5"/>
    <w:rsid w:val="3310BF74"/>
    <w:rsid w:val="3324A20B"/>
    <w:rsid w:val="3340A63A"/>
    <w:rsid w:val="3364AFA1"/>
    <w:rsid w:val="33EF3432"/>
    <w:rsid w:val="34DEBD99"/>
    <w:rsid w:val="3573DEA6"/>
    <w:rsid w:val="360EAF23"/>
    <w:rsid w:val="36C8DEA2"/>
    <w:rsid w:val="36D264A1"/>
    <w:rsid w:val="36D8455C"/>
    <w:rsid w:val="36D8D94D"/>
    <w:rsid w:val="36F4874A"/>
    <w:rsid w:val="3812D4A8"/>
    <w:rsid w:val="38C727C3"/>
    <w:rsid w:val="38D75525"/>
    <w:rsid w:val="38FE164F"/>
    <w:rsid w:val="39523D90"/>
    <w:rsid w:val="39CC6E13"/>
    <w:rsid w:val="39E41317"/>
    <w:rsid w:val="3B4A9D09"/>
    <w:rsid w:val="3B592489"/>
    <w:rsid w:val="3BBF3706"/>
    <w:rsid w:val="3C0196FD"/>
    <w:rsid w:val="3D3137C9"/>
    <w:rsid w:val="3D837318"/>
    <w:rsid w:val="3DAAFE09"/>
    <w:rsid w:val="3DD2898E"/>
    <w:rsid w:val="3DEBDFA0"/>
    <w:rsid w:val="3E880090"/>
    <w:rsid w:val="3EE572C0"/>
    <w:rsid w:val="3FA0EA29"/>
    <w:rsid w:val="40366E5D"/>
    <w:rsid w:val="40B1AFCD"/>
    <w:rsid w:val="40BED4D1"/>
    <w:rsid w:val="4113B6B0"/>
    <w:rsid w:val="4126346B"/>
    <w:rsid w:val="41415235"/>
    <w:rsid w:val="41A1DB9B"/>
    <w:rsid w:val="4256FC02"/>
    <w:rsid w:val="42CD369B"/>
    <w:rsid w:val="42D97B7C"/>
    <w:rsid w:val="431A33DA"/>
    <w:rsid w:val="43885C5E"/>
    <w:rsid w:val="44B92A3C"/>
    <w:rsid w:val="44E031DE"/>
    <w:rsid w:val="4511E54F"/>
    <w:rsid w:val="45187819"/>
    <w:rsid w:val="4530AA1A"/>
    <w:rsid w:val="453A8B4E"/>
    <w:rsid w:val="453F2D5F"/>
    <w:rsid w:val="456682C9"/>
    <w:rsid w:val="45B2EB18"/>
    <w:rsid w:val="45B4126D"/>
    <w:rsid w:val="45F4376B"/>
    <w:rsid w:val="4624C864"/>
    <w:rsid w:val="46334C74"/>
    <w:rsid w:val="465F412B"/>
    <w:rsid w:val="46D99165"/>
    <w:rsid w:val="47DA35C4"/>
    <w:rsid w:val="48C301E9"/>
    <w:rsid w:val="493CD895"/>
    <w:rsid w:val="498EA071"/>
    <w:rsid w:val="4A0DAF77"/>
    <w:rsid w:val="4A2CF0CC"/>
    <w:rsid w:val="4A2F5B91"/>
    <w:rsid w:val="4AB55F3D"/>
    <w:rsid w:val="4AC434A8"/>
    <w:rsid w:val="4B0C07F0"/>
    <w:rsid w:val="4BB5398A"/>
    <w:rsid w:val="4BDD20E4"/>
    <w:rsid w:val="4C451940"/>
    <w:rsid w:val="4C4F1831"/>
    <w:rsid w:val="4D1EBD25"/>
    <w:rsid w:val="4D25E5FB"/>
    <w:rsid w:val="4D317060"/>
    <w:rsid w:val="4DB5BECD"/>
    <w:rsid w:val="4DC4BB30"/>
    <w:rsid w:val="4DDA66E2"/>
    <w:rsid w:val="4E012474"/>
    <w:rsid w:val="4E5421E0"/>
    <w:rsid w:val="4EA3F3A1"/>
    <w:rsid w:val="4F10AC09"/>
    <w:rsid w:val="4F837048"/>
    <w:rsid w:val="50223A4E"/>
    <w:rsid w:val="507C5832"/>
    <w:rsid w:val="50B70E25"/>
    <w:rsid w:val="51E70FDB"/>
    <w:rsid w:val="520EABC0"/>
    <w:rsid w:val="5265C285"/>
    <w:rsid w:val="528D7D34"/>
    <w:rsid w:val="5297F3D7"/>
    <w:rsid w:val="53AD656C"/>
    <w:rsid w:val="53CA5A27"/>
    <w:rsid w:val="53F84C33"/>
    <w:rsid w:val="54D91635"/>
    <w:rsid w:val="54F007DB"/>
    <w:rsid w:val="553BFC79"/>
    <w:rsid w:val="5543476A"/>
    <w:rsid w:val="5615D8D2"/>
    <w:rsid w:val="568F6186"/>
    <w:rsid w:val="56E459FF"/>
    <w:rsid w:val="570FACE2"/>
    <w:rsid w:val="57143A73"/>
    <w:rsid w:val="57453425"/>
    <w:rsid w:val="575F74CC"/>
    <w:rsid w:val="57766777"/>
    <w:rsid w:val="57EE4BFE"/>
    <w:rsid w:val="57F43F9B"/>
    <w:rsid w:val="587A2DDE"/>
    <w:rsid w:val="58AD1106"/>
    <w:rsid w:val="58CB7312"/>
    <w:rsid w:val="58E982A9"/>
    <w:rsid w:val="58F538C0"/>
    <w:rsid w:val="593BEEA3"/>
    <w:rsid w:val="59AB0902"/>
    <w:rsid w:val="59B33EF1"/>
    <w:rsid w:val="59BEC3AB"/>
    <w:rsid w:val="59D06045"/>
    <w:rsid w:val="59DB7CCF"/>
    <w:rsid w:val="5AA97E6D"/>
    <w:rsid w:val="5AE96DFD"/>
    <w:rsid w:val="5AFEAA82"/>
    <w:rsid w:val="5B295CE2"/>
    <w:rsid w:val="5BF5182F"/>
    <w:rsid w:val="5D0BF6D6"/>
    <w:rsid w:val="5D36CA20"/>
    <w:rsid w:val="5D9984CF"/>
    <w:rsid w:val="5DC24DA7"/>
    <w:rsid w:val="5DD2926E"/>
    <w:rsid w:val="5EEB0D14"/>
    <w:rsid w:val="5F2429BC"/>
    <w:rsid w:val="5F276EDD"/>
    <w:rsid w:val="5F2ACACF"/>
    <w:rsid w:val="5FB55124"/>
    <w:rsid w:val="5FDA8A26"/>
    <w:rsid w:val="60083A5F"/>
    <w:rsid w:val="601BFCD2"/>
    <w:rsid w:val="602BB21C"/>
    <w:rsid w:val="60615D22"/>
    <w:rsid w:val="609B7242"/>
    <w:rsid w:val="609D57B3"/>
    <w:rsid w:val="61809776"/>
    <w:rsid w:val="6187A126"/>
    <w:rsid w:val="62364264"/>
    <w:rsid w:val="62490765"/>
    <w:rsid w:val="62D8B8CC"/>
    <w:rsid w:val="630BCEE9"/>
    <w:rsid w:val="637CF4B2"/>
    <w:rsid w:val="63A26D03"/>
    <w:rsid w:val="6445661D"/>
    <w:rsid w:val="6483C70D"/>
    <w:rsid w:val="64F1AE8C"/>
    <w:rsid w:val="657B103B"/>
    <w:rsid w:val="65C64BEF"/>
    <w:rsid w:val="65C8B88A"/>
    <w:rsid w:val="6690B0D2"/>
    <w:rsid w:val="676DAA56"/>
    <w:rsid w:val="678FBBF0"/>
    <w:rsid w:val="67C71C7E"/>
    <w:rsid w:val="6837471E"/>
    <w:rsid w:val="69579F6A"/>
    <w:rsid w:val="6986671B"/>
    <w:rsid w:val="69B4FFA5"/>
    <w:rsid w:val="69E4C2A9"/>
    <w:rsid w:val="6A427922"/>
    <w:rsid w:val="6ADC86D5"/>
    <w:rsid w:val="6C934689"/>
    <w:rsid w:val="6CC5B527"/>
    <w:rsid w:val="6CE64EC4"/>
    <w:rsid w:val="6D34B760"/>
    <w:rsid w:val="6D3F3510"/>
    <w:rsid w:val="6D90852B"/>
    <w:rsid w:val="6E780272"/>
    <w:rsid w:val="6F17B6D4"/>
    <w:rsid w:val="6FC9B161"/>
    <w:rsid w:val="7000D327"/>
    <w:rsid w:val="70548607"/>
    <w:rsid w:val="70637160"/>
    <w:rsid w:val="706EB17E"/>
    <w:rsid w:val="70DA7254"/>
    <w:rsid w:val="715C6F73"/>
    <w:rsid w:val="71EA4B0F"/>
    <w:rsid w:val="7202443F"/>
    <w:rsid w:val="7203871C"/>
    <w:rsid w:val="72F7A74E"/>
    <w:rsid w:val="736EFE73"/>
    <w:rsid w:val="7460174B"/>
    <w:rsid w:val="74E9D4AE"/>
    <w:rsid w:val="751D64FC"/>
    <w:rsid w:val="752669B6"/>
    <w:rsid w:val="75605FAA"/>
    <w:rsid w:val="75F9C43A"/>
    <w:rsid w:val="760FDF3E"/>
    <w:rsid w:val="76422FB8"/>
    <w:rsid w:val="770F5A1D"/>
    <w:rsid w:val="773FAB04"/>
    <w:rsid w:val="774E2AB5"/>
    <w:rsid w:val="78AAE031"/>
    <w:rsid w:val="78B23115"/>
    <w:rsid w:val="78C5DBBA"/>
    <w:rsid w:val="790F5897"/>
    <w:rsid w:val="793B2752"/>
    <w:rsid w:val="79881056"/>
    <w:rsid w:val="79B703D7"/>
    <w:rsid w:val="7A7D263E"/>
    <w:rsid w:val="7AA5692F"/>
    <w:rsid w:val="7B6E7D0E"/>
    <w:rsid w:val="7B85B47C"/>
    <w:rsid w:val="7B871C42"/>
    <w:rsid w:val="7BCB312C"/>
    <w:rsid w:val="7BCBB343"/>
    <w:rsid w:val="7BECFACD"/>
    <w:rsid w:val="7C8C13EA"/>
    <w:rsid w:val="7CE5816C"/>
    <w:rsid w:val="7E39219E"/>
    <w:rsid w:val="7E3D047D"/>
    <w:rsid w:val="7F1952E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FADDF"/>
  <w15:chartTrackingRefBased/>
  <w15:docId w15:val="{F6F5715C-8BDB-4AC5-A136-B05DE5A99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F0805"/>
    <w:rPr>
      <w:rFonts w:ascii="Aptos" w:hAnsi="Aptos"/>
      <w:color w:val="002060"/>
    </w:rPr>
  </w:style>
  <w:style w:type="paragraph" w:styleId="Nadpis1">
    <w:name w:val="heading 1"/>
    <w:basedOn w:val="Normln"/>
    <w:next w:val="Normln"/>
    <w:link w:val="Nadpis1Char"/>
    <w:uiPriority w:val="9"/>
    <w:qFormat/>
    <w:rsid w:val="00AF0805"/>
    <w:pPr>
      <w:keepNext/>
      <w:keepLines/>
      <w:numPr>
        <w:numId w:val="13"/>
      </w:numPr>
      <w:spacing w:before="360" w:after="80"/>
      <w:outlineLvl w:val="0"/>
    </w:pPr>
    <w:rPr>
      <w:rFonts w:eastAsiaTheme="majorEastAsia" w:cstheme="majorBidi"/>
      <w:sz w:val="40"/>
      <w:szCs w:val="40"/>
    </w:rPr>
  </w:style>
  <w:style w:type="paragraph" w:styleId="Nadpis2">
    <w:name w:val="heading 2"/>
    <w:basedOn w:val="Normln"/>
    <w:next w:val="Normln"/>
    <w:link w:val="Nadpis2Char"/>
    <w:uiPriority w:val="9"/>
    <w:unhideWhenUsed/>
    <w:qFormat/>
    <w:rsid w:val="00AF0805"/>
    <w:pPr>
      <w:keepNext/>
      <w:keepLines/>
      <w:numPr>
        <w:ilvl w:val="1"/>
        <w:numId w:val="13"/>
      </w:numPr>
      <w:spacing w:before="160" w:after="80"/>
      <w:outlineLvl w:val="1"/>
    </w:pPr>
    <w:rPr>
      <w:rFonts w:eastAsiaTheme="majorEastAsia" w:cstheme="majorBidi"/>
      <w:sz w:val="32"/>
      <w:szCs w:val="32"/>
    </w:rPr>
  </w:style>
  <w:style w:type="paragraph" w:styleId="Nadpis3">
    <w:name w:val="heading 3"/>
    <w:basedOn w:val="Normln"/>
    <w:next w:val="Normln"/>
    <w:link w:val="Nadpis3Char"/>
    <w:uiPriority w:val="9"/>
    <w:semiHidden/>
    <w:unhideWhenUsed/>
    <w:qFormat/>
    <w:rsid w:val="00AF0805"/>
    <w:pPr>
      <w:keepNext/>
      <w:keepLines/>
      <w:numPr>
        <w:ilvl w:val="2"/>
        <w:numId w:val="13"/>
      </w:numPr>
      <w:spacing w:before="160" w:after="80"/>
      <w:outlineLvl w:val="2"/>
    </w:pPr>
    <w:rPr>
      <w:rFonts w:eastAsiaTheme="majorEastAsia" w:cstheme="majorBidi"/>
      <w:sz w:val="28"/>
      <w:szCs w:val="28"/>
    </w:rPr>
  </w:style>
  <w:style w:type="paragraph" w:styleId="Nadpis4">
    <w:name w:val="heading 4"/>
    <w:basedOn w:val="Normln"/>
    <w:next w:val="Normln"/>
    <w:link w:val="Nadpis4Char"/>
    <w:uiPriority w:val="9"/>
    <w:semiHidden/>
    <w:unhideWhenUsed/>
    <w:qFormat/>
    <w:rsid w:val="00D8608F"/>
    <w:pPr>
      <w:keepNext/>
      <w:keepLines/>
      <w:numPr>
        <w:ilvl w:val="3"/>
        <w:numId w:val="13"/>
      </w:numPr>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D8608F"/>
    <w:pPr>
      <w:keepNext/>
      <w:keepLines/>
      <w:numPr>
        <w:ilvl w:val="4"/>
        <w:numId w:val="13"/>
      </w:numPr>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D8608F"/>
    <w:pPr>
      <w:keepNext/>
      <w:keepLines/>
      <w:numPr>
        <w:ilvl w:val="5"/>
        <w:numId w:val="13"/>
      </w:numPr>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D8608F"/>
    <w:pPr>
      <w:keepNext/>
      <w:keepLines/>
      <w:numPr>
        <w:ilvl w:val="6"/>
        <w:numId w:val="13"/>
      </w:numPr>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D8608F"/>
    <w:pPr>
      <w:keepNext/>
      <w:keepLines/>
      <w:numPr>
        <w:ilvl w:val="7"/>
        <w:numId w:val="13"/>
      </w:numPr>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D8608F"/>
    <w:pPr>
      <w:keepNext/>
      <w:keepLines/>
      <w:numPr>
        <w:ilvl w:val="8"/>
        <w:numId w:val="13"/>
      </w:numPr>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AF0805"/>
    <w:rPr>
      <w:rFonts w:ascii="Aptos" w:eastAsiaTheme="majorEastAsia" w:hAnsi="Aptos" w:cstheme="majorBidi"/>
      <w:color w:val="002060"/>
      <w:sz w:val="40"/>
      <w:szCs w:val="40"/>
    </w:rPr>
  </w:style>
  <w:style w:type="character" w:customStyle="1" w:styleId="Nadpis2Char">
    <w:name w:val="Nadpis 2 Char"/>
    <w:basedOn w:val="Standardnpsmoodstavce"/>
    <w:link w:val="Nadpis2"/>
    <w:uiPriority w:val="9"/>
    <w:rsid w:val="00AF0805"/>
    <w:rPr>
      <w:rFonts w:ascii="Aptos" w:eastAsiaTheme="majorEastAsia" w:hAnsi="Aptos" w:cstheme="majorBidi"/>
      <w:color w:val="002060"/>
      <w:sz w:val="32"/>
      <w:szCs w:val="32"/>
    </w:rPr>
  </w:style>
  <w:style w:type="character" w:customStyle="1" w:styleId="Nadpis3Char">
    <w:name w:val="Nadpis 3 Char"/>
    <w:basedOn w:val="Standardnpsmoodstavce"/>
    <w:link w:val="Nadpis3"/>
    <w:uiPriority w:val="9"/>
    <w:semiHidden/>
    <w:rsid w:val="00AF0805"/>
    <w:rPr>
      <w:rFonts w:ascii="Aptos" w:eastAsiaTheme="majorEastAsia" w:hAnsi="Aptos" w:cstheme="majorBidi"/>
      <w:color w:val="002060"/>
      <w:sz w:val="28"/>
      <w:szCs w:val="28"/>
    </w:rPr>
  </w:style>
  <w:style w:type="character" w:customStyle="1" w:styleId="Nadpis4Char">
    <w:name w:val="Nadpis 4 Char"/>
    <w:basedOn w:val="Standardnpsmoodstavce"/>
    <w:link w:val="Nadpis4"/>
    <w:uiPriority w:val="9"/>
    <w:semiHidden/>
    <w:rsid w:val="00D8608F"/>
    <w:rPr>
      <w:rFonts w:ascii="Aptos" w:eastAsiaTheme="majorEastAsia" w:hAnsi="Aptos" w:cstheme="majorBidi"/>
      <w:i/>
      <w:iCs/>
      <w:color w:val="2F5496" w:themeColor="accent1" w:themeShade="BF"/>
    </w:rPr>
  </w:style>
  <w:style w:type="character" w:customStyle="1" w:styleId="Nadpis5Char">
    <w:name w:val="Nadpis 5 Char"/>
    <w:basedOn w:val="Standardnpsmoodstavce"/>
    <w:link w:val="Nadpis5"/>
    <w:uiPriority w:val="9"/>
    <w:semiHidden/>
    <w:rsid w:val="00D8608F"/>
    <w:rPr>
      <w:rFonts w:ascii="Aptos" w:eastAsiaTheme="majorEastAsia" w:hAnsi="Aptos" w:cstheme="majorBidi"/>
      <w:color w:val="2F5496" w:themeColor="accent1" w:themeShade="BF"/>
    </w:rPr>
  </w:style>
  <w:style w:type="character" w:customStyle="1" w:styleId="Nadpis6Char">
    <w:name w:val="Nadpis 6 Char"/>
    <w:basedOn w:val="Standardnpsmoodstavce"/>
    <w:link w:val="Nadpis6"/>
    <w:uiPriority w:val="9"/>
    <w:semiHidden/>
    <w:rsid w:val="00D8608F"/>
    <w:rPr>
      <w:rFonts w:ascii="Aptos" w:eastAsiaTheme="majorEastAsia" w:hAnsi="Aptos" w:cstheme="majorBidi"/>
      <w:i/>
      <w:iCs/>
      <w:color w:val="595959" w:themeColor="text1" w:themeTint="A6"/>
    </w:rPr>
  </w:style>
  <w:style w:type="character" w:customStyle="1" w:styleId="Nadpis7Char">
    <w:name w:val="Nadpis 7 Char"/>
    <w:basedOn w:val="Standardnpsmoodstavce"/>
    <w:link w:val="Nadpis7"/>
    <w:uiPriority w:val="9"/>
    <w:semiHidden/>
    <w:rsid w:val="00D8608F"/>
    <w:rPr>
      <w:rFonts w:ascii="Aptos" w:eastAsiaTheme="majorEastAsia" w:hAnsi="Aptos" w:cstheme="majorBidi"/>
      <w:color w:val="595959" w:themeColor="text1" w:themeTint="A6"/>
    </w:rPr>
  </w:style>
  <w:style w:type="character" w:customStyle="1" w:styleId="Nadpis8Char">
    <w:name w:val="Nadpis 8 Char"/>
    <w:basedOn w:val="Standardnpsmoodstavce"/>
    <w:link w:val="Nadpis8"/>
    <w:uiPriority w:val="9"/>
    <w:semiHidden/>
    <w:rsid w:val="00D8608F"/>
    <w:rPr>
      <w:rFonts w:ascii="Aptos" w:eastAsiaTheme="majorEastAsia" w:hAnsi="Aptos" w:cstheme="majorBidi"/>
      <w:i/>
      <w:iCs/>
      <w:color w:val="272727" w:themeColor="text1" w:themeTint="D8"/>
    </w:rPr>
  </w:style>
  <w:style w:type="character" w:customStyle="1" w:styleId="Nadpis9Char">
    <w:name w:val="Nadpis 9 Char"/>
    <w:basedOn w:val="Standardnpsmoodstavce"/>
    <w:link w:val="Nadpis9"/>
    <w:uiPriority w:val="9"/>
    <w:semiHidden/>
    <w:rsid w:val="00D8608F"/>
    <w:rPr>
      <w:rFonts w:ascii="Aptos" w:eastAsiaTheme="majorEastAsia" w:hAnsi="Aptos" w:cstheme="majorBidi"/>
      <w:color w:val="272727" w:themeColor="text1" w:themeTint="D8"/>
    </w:rPr>
  </w:style>
  <w:style w:type="paragraph" w:styleId="Nzev">
    <w:name w:val="Title"/>
    <w:basedOn w:val="Normln"/>
    <w:next w:val="Normln"/>
    <w:link w:val="NzevChar"/>
    <w:uiPriority w:val="10"/>
    <w:qFormat/>
    <w:rsid w:val="00D860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D8608F"/>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D8608F"/>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D8608F"/>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D8608F"/>
    <w:pPr>
      <w:spacing w:before="160"/>
      <w:jc w:val="center"/>
    </w:pPr>
    <w:rPr>
      <w:i/>
      <w:iCs/>
      <w:color w:val="404040" w:themeColor="text1" w:themeTint="BF"/>
    </w:rPr>
  </w:style>
  <w:style w:type="character" w:customStyle="1" w:styleId="CittChar">
    <w:name w:val="Citát Char"/>
    <w:basedOn w:val="Standardnpsmoodstavce"/>
    <w:link w:val="Citt"/>
    <w:uiPriority w:val="29"/>
    <w:rsid w:val="00D8608F"/>
    <w:rPr>
      <w:i/>
      <w:iCs/>
      <w:color w:val="404040" w:themeColor="text1" w:themeTint="BF"/>
    </w:rPr>
  </w:style>
  <w:style w:type="paragraph" w:styleId="Odstavecseseznamem">
    <w:name w:val="List Paragraph"/>
    <w:basedOn w:val="Normln"/>
    <w:uiPriority w:val="34"/>
    <w:qFormat/>
    <w:rsid w:val="00D8608F"/>
    <w:pPr>
      <w:ind w:left="720"/>
      <w:contextualSpacing/>
    </w:pPr>
  </w:style>
  <w:style w:type="character" w:styleId="Zdraznnintenzivn">
    <w:name w:val="Intense Emphasis"/>
    <w:basedOn w:val="Standardnpsmoodstavce"/>
    <w:uiPriority w:val="21"/>
    <w:qFormat/>
    <w:rsid w:val="00D8608F"/>
    <w:rPr>
      <w:i/>
      <w:iCs/>
      <w:color w:val="2F5496" w:themeColor="accent1" w:themeShade="BF"/>
    </w:rPr>
  </w:style>
  <w:style w:type="paragraph" w:styleId="Vrazncitt">
    <w:name w:val="Intense Quote"/>
    <w:basedOn w:val="Normln"/>
    <w:next w:val="Normln"/>
    <w:link w:val="VrazncittChar"/>
    <w:uiPriority w:val="30"/>
    <w:qFormat/>
    <w:rsid w:val="00D8608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D8608F"/>
    <w:rPr>
      <w:i/>
      <w:iCs/>
      <w:color w:val="2F5496" w:themeColor="accent1" w:themeShade="BF"/>
    </w:rPr>
  </w:style>
  <w:style w:type="character" w:styleId="Odkazintenzivn">
    <w:name w:val="Intense Reference"/>
    <w:basedOn w:val="Standardnpsmoodstavce"/>
    <w:uiPriority w:val="32"/>
    <w:qFormat/>
    <w:rsid w:val="00D8608F"/>
    <w:rPr>
      <w:b/>
      <w:bCs/>
      <w:smallCaps/>
      <w:color w:val="2F5496" w:themeColor="accent1" w:themeShade="BF"/>
      <w:spacing w:val="5"/>
    </w:rPr>
  </w:style>
  <w:style w:type="table" w:customStyle="1" w:styleId="Mkatabulky1">
    <w:name w:val="Mřížka tabulky1"/>
    <w:basedOn w:val="Normlntabulka"/>
    <w:next w:val="Mkatabulky"/>
    <w:uiPriority w:val="39"/>
    <w:rsid w:val="00D8608F"/>
    <w:pPr>
      <w:suppressAutoHyphens/>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Mkatabulky">
    <w:name w:val="Table Grid"/>
    <w:basedOn w:val="Normlntabulka"/>
    <w:uiPriority w:val="39"/>
    <w:rsid w:val="00D860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Reference">
    <w:name w:val="Comment Reference"/>
    <w:basedOn w:val="Standardnpsmoodstavce"/>
    <w:uiPriority w:val="99"/>
    <w:semiHidden/>
    <w:unhideWhenUsed/>
    <w:rsid w:val="0094520E"/>
    <w:rPr>
      <w:sz w:val="16"/>
      <w:szCs w:val="16"/>
    </w:rPr>
  </w:style>
  <w:style w:type="paragraph" w:customStyle="1" w:styleId="CommentText">
    <w:name w:val="Comment Text"/>
    <w:basedOn w:val="Normln"/>
    <w:link w:val="CommentTextChar"/>
    <w:uiPriority w:val="99"/>
    <w:unhideWhenUsed/>
    <w:rsid w:val="0094520E"/>
    <w:pPr>
      <w:spacing w:line="240" w:lineRule="auto"/>
    </w:pPr>
    <w:rPr>
      <w:sz w:val="20"/>
      <w:szCs w:val="20"/>
    </w:rPr>
  </w:style>
  <w:style w:type="character" w:customStyle="1" w:styleId="CommentTextChar">
    <w:name w:val="Comment Text Char"/>
    <w:basedOn w:val="Standardnpsmoodstavce"/>
    <w:link w:val="CommentText"/>
    <w:uiPriority w:val="99"/>
    <w:rsid w:val="0094520E"/>
    <w:rPr>
      <w:sz w:val="20"/>
      <w:szCs w:val="20"/>
    </w:rPr>
  </w:style>
  <w:style w:type="paragraph" w:customStyle="1" w:styleId="CommentSubject">
    <w:name w:val="Comment Subject"/>
    <w:basedOn w:val="CommentText"/>
    <w:next w:val="CommentText"/>
    <w:link w:val="CommentSubjectChar"/>
    <w:uiPriority w:val="99"/>
    <w:semiHidden/>
    <w:unhideWhenUsed/>
    <w:rsid w:val="0094520E"/>
    <w:rPr>
      <w:b/>
      <w:bCs/>
    </w:rPr>
  </w:style>
  <w:style w:type="character" w:customStyle="1" w:styleId="CommentSubjectChar">
    <w:name w:val="Comment Subject Char"/>
    <w:basedOn w:val="CommentTextChar"/>
    <w:link w:val="CommentSubject"/>
    <w:uiPriority w:val="99"/>
    <w:semiHidden/>
    <w:rsid w:val="0094520E"/>
    <w:rPr>
      <w:b/>
      <w:bCs/>
      <w:sz w:val="20"/>
      <w:szCs w:val="20"/>
    </w:rPr>
  </w:style>
  <w:style w:type="paragraph" w:customStyle="1" w:styleId="Default">
    <w:name w:val="Default"/>
    <w:rsid w:val="00EB33B9"/>
    <w:pPr>
      <w:autoSpaceDE w:val="0"/>
      <w:autoSpaceDN w:val="0"/>
      <w:adjustRightInd w:val="0"/>
      <w:spacing w:after="0" w:line="240" w:lineRule="auto"/>
    </w:pPr>
    <w:rPr>
      <w:rFonts w:ascii="Calibri" w:hAnsi="Calibri" w:cs="Calibri"/>
      <w:color w:val="000000"/>
      <w:kern w:val="0"/>
      <w:sz w:val="24"/>
      <w:szCs w:val="24"/>
    </w:rPr>
  </w:style>
  <w:style w:type="paragraph" w:styleId="Zhlav">
    <w:name w:val="header"/>
    <w:basedOn w:val="Normln"/>
    <w:link w:val="ZhlavChar"/>
    <w:uiPriority w:val="99"/>
    <w:unhideWhenUsed/>
    <w:rsid w:val="00AF0805"/>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AF0805"/>
  </w:style>
  <w:style w:type="paragraph" w:styleId="Zpat">
    <w:name w:val="footer"/>
    <w:basedOn w:val="Normln"/>
    <w:link w:val="ZpatChar"/>
    <w:uiPriority w:val="99"/>
    <w:unhideWhenUsed/>
    <w:rsid w:val="00AF0805"/>
    <w:pPr>
      <w:tabs>
        <w:tab w:val="center" w:pos="4536"/>
        <w:tab w:val="right" w:pos="9072"/>
      </w:tabs>
      <w:spacing w:after="0" w:line="240" w:lineRule="auto"/>
    </w:pPr>
  </w:style>
  <w:style w:type="character" w:customStyle="1" w:styleId="ZpatChar">
    <w:name w:val="Zápatí Char"/>
    <w:basedOn w:val="Standardnpsmoodstavce"/>
    <w:link w:val="Zpat"/>
    <w:uiPriority w:val="99"/>
    <w:rsid w:val="00AF0805"/>
  </w:style>
  <w:style w:type="paragraph" w:styleId="Bezmezer">
    <w:name w:val="No Spacing"/>
    <w:link w:val="BezmezerChar"/>
    <w:uiPriority w:val="1"/>
    <w:qFormat/>
    <w:rsid w:val="00AF0805"/>
    <w:pPr>
      <w:spacing w:after="0" w:line="240" w:lineRule="auto"/>
    </w:pPr>
    <w:rPr>
      <w:rFonts w:eastAsiaTheme="minorEastAsia"/>
      <w:color w:val="002060"/>
      <w:kern w:val="0"/>
      <w:lang w:eastAsia="cs-CZ"/>
      <w14:ligatures w14:val="none"/>
    </w:rPr>
  </w:style>
  <w:style w:type="character" w:customStyle="1" w:styleId="BezmezerChar">
    <w:name w:val="Bez mezer Char"/>
    <w:basedOn w:val="Standardnpsmoodstavce"/>
    <w:link w:val="Bezmezer"/>
    <w:uiPriority w:val="1"/>
    <w:rsid w:val="00AF0805"/>
    <w:rPr>
      <w:rFonts w:eastAsiaTheme="minorEastAsia"/>
      <w:color w:val="002060"/>
      <w:kern w:val="0"/>
      <w:lang w:eastAsia="cs-CZ"/>
      <w14:ligatures w14:val="none"/>
    </w:rPr>
  </w:style>
  <w:style w:type="paragraph" w:styleId="Nadpisobsahu">
    <w:name w:val="TOC Heading"/>
    <w:basedOn w:val="Nadpis1"/>
    <w:next w:val="Normln"/>
    <w:uiPriority w:val="39"/>
    <w:unhideWhenUsed/>
    <w:qFormat/>
    <w:rsid w:val="00AF0805"/>
    <w:pPr>
      <w:numPr>
        <w:numId w:val="0"/>
      </w:numPr>
      <w:spacing w:before="240" w:after="0"/>
      <w:outlineLvl w:val="9"/>
    </w:pPr>
    <w:rPr>
      <w:rFonts w:asciiTheme="majorHAnsi" w:hAnsiTheme="majorHAnsi"/>
      <w:kern w:val="0"/>
      <w:sz w:val="32"/>
      <w:szCs w:val="32"/>
      <w:lang w:eastAsia="cs-CZ"/>
      <w14:ligatures w14:val="none"/>
    </w:rPr>
  </w:style>
  <w:style w:type="paragraph" w:styleId="Obsah1">
    <w:name w:val="toc 1"/>
    <w:basedOn w:val="Normln"/>
    <w:next w:val="Normln"/>
    <w:autoRedefine/>
    <w:uiPriority w:val="39"/>
    <w:unhideWhenUsed/>
    <w:rsid w:val="00AF0805"/>
    <w:pPr>
      <w:spacing w:after="100"/>
    </w:pPr>
  </w:style>
  <w:style w:type="paragraph" w:styleId="Obsah2">
    <w:name w:val="toc 2"/>
    <w:basedOn w:val="Normln"/>
    <w:next w:val="Normln"/>
    <w:autoRedefine/>
    <w:uiPriority w:val="39"/>
    <w:unhideWhenUsed/>
    <w:rsid w:val="00AF0805"/>
    <w:pPr>
      <w:spacing w:after="100"/>
      <w:ind w:left="220"/>
    </w:pPr>
  </w:style>
  <w:style w:type="character" w:styleId="Hypertextovodkaz">
    <w:name w:val="Hyperlink"/>
    <w:basedOn w:val="Standardnpsmoodstavce"/>
    <w:uiPriority w:val="99"/>
    <w:unhideWhenUsed/>
    <w:rsid w:val="00AF0805"/>
    <w:rPr>
      <w:color w:val="0563C1" w:themeColor="hyperlink"/>
      <w:u w:val="single"/>
    </w:rPr>
  </w:style>
  <w:style w:type="paragraph" w:customStyle="1" w:styleId="paragraph">
    <w:name w:val="paragraph"/>
    <w:basedOn w:val="Normln"/>
    <w:rsid w:val="00B609AB"/>
    <w:pPr>
      <w:spacing w:before="100" w:beforeAutospacing="1" w:after="100" w:afterAutospacing="1" w:line="240" w:lineRule="auto"/>
    </w:pPr>
    <w:rPr>
      <w:rFonts w:ascii="Times New Roman" w:eastAsia="Times New Roman" w:hAnsi="Times New Roman" w:cs="Times New Roman"/>
      <w:color w:val="auto"/>
      <w:kern w:val="0"/>
      <w:sz w:val="24"/>
      <w:szCs w:val="24"/>
      <w:lang w:eastAsia="cs-CZ"/>
      <w14:ligatures w14:val="none"/>
    </w:rPr>
  </w:style>
  <w:style w:type="character" w:customStyle="1" w:styleId="normaltextrun">
    <w:name w:val="normaltextrun"/>
    <w:basedOn w:val="Standardnpsmoodstavce"/>
    <w:qFormat/>
    <w:rsid w:val="00B609AB"/>
  </w:style>
  <w:style w:type="character" w:customStyle="1" w:styleId="eop">
    <w:name w:val="eop"/>
    <w:basedOn w:val="Standardnpsmoodstavce"/>
    <w:qFormat/>
    <w:rsid w:val="00B609AB"/>
  </w:style>
  <w:style w:type="character" w:customStyle="1" w:styleId="scxw261094717">
    <w:name w:val="scxw261094717"/>
    <w:basedOn w:val="Standardnpsmoodstavce"/>
    <w:rsid w:val="00B609AB"/>
  </w:style>
  <w:style w:type="character" w:customStyle="1" w:styleId="tabchar">
    <w:name w:val="tabchar"/>
    <w:basedOn w:val="Standardnpsmoodstavce"/>
    <w:rsid w:val="00B609AB"/>
  </w:style>
  <w:style w:type="table" w:customStyle="1" w:styleId="Mkatabulky2">
    <w:name w:val="Mřížka tabulky2"/>
    <w:basedOn w:val="Normlntabulka"/>
    <w:next w:val="Mkatabulky"/>
    <w:uiPriority w:val="39"/>
    <w:rsid w:val="005A4F94"/>
    <w:pPr>
      <w:suppressAutoHyphens/>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lnweb">
    <w:name w:val="Normal (Web)"/>
    <w:basedOn w:val="Normln"/>
    <w:uiPriority w:val="99"/>
    <w:unhideWhenUsed/>
    <w:rsid w:val="0016102A"/>
    <w:pPr>
      <w:spacing w:before="100" w:beforeAutospacing="1" w:after="100" w:afterAutospacing="1" w:line="240" w:lineRule="auto"/>
    </w:pPr>
    <w:rPr>
      <w:rFonts w:ascii="Times New Roman" w:eastAsia="Times New Roman" w:hAnsi="Times New Roman" w:cs="Times New Roman"/>
      <w:color w:val="auto"/>
      <w:kern w:val="0"/>
      <w:sz w:val="24"/>
      <w:szCs w:val="24"/>
      <w:lang w:eastAsia="cs-CZ"/>
      <w14:ligatures w14:val="none"/>
    </w:rPr>
  </w:style>
  <w:style w:type="paragraph" w:styleId="Revize">
    <w:name w:val="Revision"/>
    <w:hidden/>
    <w:uiPriority w:val="99"/>
    <w:semiHidden/>
    <w:rsid w:val="000F63D3"/>
    <w:pPr>
      <w:spacing w:after="0" w:line="240" w:lineRule="auto"/>
    </w:pPr>
    <w:rPr>
      <w:rFonts w:ascii="Aptos" w:hAnsi="Aptos"/>
      <w:color w:val="002060"/>
    </w:rPr>
  </w:style>
  <w:style w:type="character" w:customStyle="1" w:styleId="Zkladntext">
    <w:name w:val="Základní text_"/>
    <w:basedOn w:val="Standardnpsmoodstavce"/>
    <w:link w:val="Zkladntext1"/>
    <w:rsid w:val="00316D85"/>
    <w:rPr>
      <w:rFonts w:ascii="Cambria" w:eastAsia="Cambria" w:hAnsi="Cambria" w:cs="Cambria"/>
    </w:rPr>
  </w:style>
  <w:style w:type="paragraph" w:customStyle="1" w:styleId="Zkladntext1">
    <w:name w:val="Základní text1"/>
    <w:basedOn w:val="Normln"/>
    <w:link w:val="Zkladntext"/>
    <w:rsid w:val="00316D85"/>
    <w:pPr>
      <w:widowControl w:val="0"/>
      <w:spacing w:after="120" w:line="276" w:lineRule="auto"/>
    </w:pPr>
    <w:rPr>
      <w:rFonts w:ascii="Cambria" w:eastAsia="Cambria" w:hAnsi="Cambria" w:cs="Cambria"/>
      <w:color w:val="auto"/>
    </w:rPr>
  </w:style>
  <w:style w:type="character" w:customStyle="1" w:styleId="scxw261242668">
    <w:name w:val="scxw261242668"/>
    <w:basedOn w:val="Standardnpsmoodstavce"/>
    <w:rsid w:val="00B17E1F"/>
  </w:style>
  <w:style w:type="character" w:styleId="Siln">
    <w:name w:val="Strong"/>
    <w:basedOn w:val="Standardnpsmoodstavce"/>
    <w:uiPriority w:val="22"/>
    <w:qFormat/>
    <w:rsid w:val="5BF5182F"/>
    <w:rPr>
      <w:b/>
      <w:bCs/>
    </w:rPr>
  </w:style>
  <w:style w:type="paragraph" w:styleId="Textkomente">
    <w:name w:val="annotation text"/>
    <w:basedOn w:val="Normln"/>
    <w:link w:val="TextkomenteChar"/>
    <w:uiPriority w:val="99"/>
    <w:semiHidden/>
    <w:unhideWhenUsed/>
    <w:pPr>
      <w:spacing w:line="240" w:lineRule="auto"/>
    </w:pPr>
    <w:rPr>
      <w:sz w:val="20"/>
      <w:szCs w:val="20"/>
    </w:rPr>
  </w:style>
  <w:style w:type="character" w:customStyle="1" w:styleId="TextkomenteChar">
    <w:name w:val="Text komentáře Char"/>
    <w:basedOn w:val="Standardnpsmoodstavce"/>
    <w:link w:val="Textkomente"/>
    <w:uiPriority w:val="99"/>
    <w:semiHidden/>
    <w:rPr>
      <w:rFonts w:ascii="Aptos" w:hAnsi="Aptos"/>
      <w:color w:val="002060"/>
      <w:sz w:val="20"/>
      <w:szCs w:val="20"/>
    </w:rPr>
  </w:style>
  <w:style w:type="character" w:styleId="Odkaznakoment">
    <w:name w:val="annotation reference"/>
    <w:basedOn w:val="Standardnpsmoodstavce"/>
    <w:uiPriority w:val="99"/>
    <w:semiHidden/>
    <w:unhideWhenUsed/>
    <w:rPr>
      <w:sz w:val="16"/>
      <w:szCs w:val="16"/>
    </w:rPr>
  </w:style>
  <w:style w:type="paragraph" w:styleId="Obsah3">
    <w:name w:val="toc 3"/>
    <w:basedOn w:val="Normln"/>
    <w:next w:val="Normln"/>
    <w:autoRedefine/>
    <w:uiPriority w:val="39"/>
    <w:unhideWhenUsed/>
    <w:rsid w:val="00294F84"/>
    <w:pPr>
      <w:spacing w:after="100"/>
      <w:ind w:left="440"/>
    </w:pPr>
    <w:rPr>
      <w:rFonts w:asciiTheme="minorHAnsi" w:eastAsiaTheme="minorEastAsia" w:hAnsiTheme="minorHAnsi" w:cs="Times New Roman"/>
      <w:color w:val="auto"/>
      <w:kern w:val="0"/>
      <w:lang w:eastAsia="cs-CZ"/>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0F79235026C430B9C21657FCF4621E8"/>
        <w:category>
          <w:name w:val="Obecné"/>
          <w:gallery w:val="placeholder"/>
        </w:category>
        <w:types>
          <w:type w:val="bbPlcHdr"/>
        </w:types>
        <w:behaviors>
          <w:behavior w:val="content"/>
        </w:behaviors>
        <w:guid w:val="{34C8B49E-D0E3-4AFA-83AE-F1C8508FCD5C}"/>
      </w:docPartPr>
      <w:docPartBody>
        <w:p w:rsidR="00F3217B" w:rsidRDefault="00886618" w:rsidP="00886618">
          <w:pPr>
            <w:pStyle w:val="20F79235026C430B9C21657FCF4621E8"/>
          </w:pPr>
          <w:r>
            <w:rPr>
              <w:color w:val="0F4761" w:themeColor="accent1" w:themeShade="BF"/>
            </w:rPr>
            <w:t>[Název společnosti]</w:t>
          </w:r>
        </w:p>
      </w:docPartBody>
    </w:docPart>
    <w:docPart>
      <w:docPartPr>
        <w:name w:val="6264C3A3CA0B4BAB9C864269D4833F07"/>
        <w:category>
          <w:name w:val="Obecné"/>
          <w:gallery w:val="placeholder"/>
        </w:category>
        <w:types>
          <w:type w:val="bbPlcHdr"/>
        </w:types>
        <w:behaviors>
          <w:behavior w:val="content"/>
        </w:behaviors>
        <w:guid w:val="{324FB212-7977-4D2B-AB91-429291068E73}"/>
      </w:docPartPr>
      <w:docPartBody>
        <w:p w:rsidR="00F3217B" w:rsidRDefault="00886618" w:rsidP="00886618">
          <w:pPr>
            <w:pStyle w:val="6264C3A3CA0B4BAB9C864269D4833F07"/>
          </w:pPr>
          <w:r>
            <w:rPr>
              <w:rFonts w:asciiTheme="majorHAnsi" w:eastAsiaTheme="majorEastAsia" w:hAnsiTheme="majorHAnsi" w:cstheme="majorBidi"/>
              <w:color w:val="156082" w:themeColor="accent1"/>
              <w:sz w:val="88"/>
              <w:szCs w:val="88"/>
            </w:rPr>
            <w:t>[Název dokumentu]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Aptos Narrow">
    <w:altName w:val="Calibri"/>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618"/>
    <w:rsid w:val="000C6CD4"/>
    <w:rsid w:val="00135B70"/>
    <w:rsid w:val="00154090"/>
    <w:rsid w:val="001C60CB"/>
    <w:rsid w:val="00360B7A"/>
    <w:rsid w:val="003C60F9"/>
    <w:rsid w:val="004029B4"/>
    <w:rsid w:val="004B2C99"/>
    <w:rsid w:val="00531C48"/>
    <w:rsid w:val="005465E9"/>
    <w:rsid w:val="005A3F69"/>
    <w:rsid w:val="0063385F"/>
    <w:rsid w:val="006C1567"/>
    <w:rsid w:val="006F13F7"/>
    <w:rsid w:val="00707D7A"/>
    <w:rsid w:val="00751E35"/>
    <w:rsid w:val="00782BA1"/>
    <w:rsid w:val="00886618"/>
    <w:rsid w:val="00887BCF"/>
    <w:rsid w:val="008B672F"/>
    <w:rsid w:val="008E08CF"/>
    <w:rsid w:val="00930377"/>
    <w:rsid w:val="00970602"/>
    <w:rsid w:val="009A3FB7"/>
    <w:rsid w:val="00A565E6"/>
    <w:rsid w:val="00A65BD1"/>
    <w:rsid w:val="00AC5133"/>
    <w:rsid w:val="00B0477B"/>
    <w:rsid w:val="00BA1AD8"/>
    <w:rsid w:val="00BC490F"/>
    <w:rsid w:val="00C153D6"/>
    <w:rsid w:val="00C25DFC"/>
    <w:rsid w:val="00C66545"/>
    <w:rsid w:val="00D032C3"/>
    <w:rsid w:val="00D1638F"/>
    <w:rsid w:val="00E04633"/>
    <w:rsid w:val="00E35074"/>
    <w:rsid w:val="00E35358"/>
    <w:rsid w:val="00F3217B"/>
    <w:rsid w:val="00FA154C"/>
    <w:rsid w:val="00FD075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20F79235026C430B9C21657FCF4621E8">
    <w:name w:val="20F79235026C430B9C21657FCF4621E8"/>
    <w:rsid w:val="00886618"/>
  </w:style>
  <w:style w:type="paragraph" w:customStyle="1" w:styleId="6264C3A3CA0B4BAB9C864269D4833F07">
    <w:name w:val="6264C3A3CA0B4BAB9C864269D4833F07"/>
    <w:rsid w:val="00886618"/>
  </w:style>
  <w:style w:type="paragraph" w:customStyle="1" w:styleId="A107990A896A440DA760C0A2B7BF15AE">
    <w:name w:val="A107990A896A440DA760C0A2B7BF15AE"/>
    <w:rsid w:val="005465E9"/>
  </w:style>
  <w:style w:type="paragraph" w:customStyle="1" w:styleId="6F4BA741D54640A28AB53E46ABFA0EDB">
    <w:name w:val="6F4BA741D54640A28AB53E46ABFA0EDB"/>
    <w:rsid w:val="005465E9"/>
  </w:style>
  <w:style w:type="paragraph" w:customStyle="1" w:styleId="313DE7910BAA490AA19AB2E003D4E3AB">
    <w:name w:val="313DE7910BAA490AA19AB2E003D4E3AB"/>
    <w:rsid w:val="005465E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875498-1A41-45CB-B097-06115C3757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7599</Words>
  <Characters>44839</Characters>
  <Application>Microsoft Office Word</Application>
  <DocSecurity>0</DocSecurity>
  <Lines>373</Lines>
  <Paragraphs>104</Paragraphs>
  <ScaleCrop>false</ScaleCrop>
  <Company>Národní strategie pro vzácná onemocnění 2026-2035</Company>
  <LinksUpToDate>false</LinksUpToDate>
  <CharactersWithSpaces>52334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Implementační rámec NSVO</dc:title>
  <dc:subject/>
  <dc:creator>Jana Jedličková</dc:creator>
  <cp:keywords/>
  <dc:description/>
  <cp:lastModifiedBy>Lichterová Simona, Mgr.</cp:lastModifiedBy>
  <cp:revision>69</cp:revision>
  <cp:lastPrinted>2026-03-25T01:24:00Z</cp:lastPrinted>
  <dcterms:created xsi:type="dcterms:W3CDTF">2026-04-21T18:17:00Z</dcterms:created>
  <dcterms:modified xsi:type="dcterms:W3CDTF">2026-06-24T06:05:00Z</dcterms:modified>
</cp:coreProperties>
</file>