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B3843" w14:textId="2C08D977" w:rsidR="004670F0" w:rsidRPr="00CA7996" w:rsidRDefault="00526E65" w:rsidP="00D77287">
      <w:pPr>
        <w:pBdr>
          <w:bottom w:val="single" w:sz="4" w:space="1" w:color="auto"/>
        </w:pBdr>
        <w:tabs>
          <w:tab w:val="center" w:pos="4536"/>
          <w:tab w:val="right" w:pos="9072"/>
        </w:tabs>
        <w:spacing w:before="360" w:after="120"/>
        <w:jc w:val="center"/>
        <w:rPr>
          <w:rFonts w:ascii="Times New Roman" w:hAnsi="Times New Roman" w:cs="Times New Roman"/>
          <w:b/>
          <w:sz w:val="24"/>
          <w:szCs w:val="24"/>
        </w:rPr>
      </w:pPr>
      <w:r>
        <w:rPr>
          <w:rFonts w:ascii="Times New Roman" w:hAnsi="Times New Roman" w:cs="Times New Roman"/>
          <w:b/>
          <w:sz w:val="24"/>
          <w:szCs w:val="24"/>
        </w:rPr>
        <w:t>Společný</w:t>
      </w:r>
      <w:r w:rsidR="007D17F2">
        <w:rPr>
          <w:rFonts w:ascii="Times New Roman" w:hAnsi="Times New Roman" w:cs="Times New Roman"/>
          <w:b/>
          <w:sz w:val="24"/>
          <w:szCs w:val="24"/>
        </w:rPr>
        <w:t xml:space="preserve"> n</w:t>
      </w:r>
      <w:r w:rsidR="00B25236" w:rsidRPr="00CA7996">
        <w:rPr>
          <w:rFonts w:ascii="Times New Roman" w:hAnsi="Times New Roman" w:cs="Times New Roman"/>
          <w:b/>
          <w:sz w:val="24"/>
          <w:szCs w:val="24"/>
        </w:rPr>
        <w:t>ávrh VZP ČR</w:t>
      </w:r>
      <w:r w:rsidR="00357348">
        <w:rPr>
          <w:rFonts w:ascii="Times New Roman" w:hAnsi="Times New Roman" w:cs="Times New Roman"/>
          <w:b/>
          <w:sz w:val="24"/>
          <w:szCs w:val="24"/>
        </w:rPr>
        <w:t xml:space="preserve"> a zástupců poskytovatelů ADS ČR</w:t>
      </w:r>
      <w:r w:rsidR="00B25236" w:rsidRPr="00CA7996">
        <w:rPr>
          <w:rFonts w:ascii="Times New Roman" w:hAnsi="Times New Roman" w:cs="Times New Roman"/>
          <w:b/>
          <w:sz w:val="24"/>
          <w:szCs w:val="24"/>
        </w:rPr>
        <w:t xml:space="preserve"> </w:t>
      </w:r>
      <w:r w:rsidR="004670F0" w:rsidRPr="00CA7996">
        <w:rPr>
          <w:rFonts w:ascii="Times New Roman" w:hAnsi="Times New Roman" w:cs="Times New Roman"/>
          <w:b/>
          <w:sz w:val="24"/>
          <w:szCs w:val="24"/>
        </w:rPr>
        <w:t xml:space="preserve">na úhradu segmentu ambulantní </w:t>
      </w:r>
      <w:r w:rsidR="003224B4" w:rsidRPr="00CA7996">
        <w:rPr>
          <w:rFonts w:ascii="Times New Roman" w:hAnsi="Times New Roman" w:cs="Times New Roman"/>
          <w:b/>
          <w:sz w:val="24"/>
          <w:szCs w:val="24"/>
        </w:rPr>
        <w:t>dialyzační</w:t>
      </w:r>
      <w:r w:rsidR="004670F0" w:rsidRPr="00CA7996">
        <w:rPr>
          <w:rFonts w:ascii="Times New Roman" w:hAnsi="Times New Roman" w:cs="Times New Roman"/>
          <w:b/>
          <w:sz w:val="24"/>
          <w:szCs w:val="24"/>
        </w:rPr>
        <w:t xml:space="preserve"> péče pro rok 202</w:t>
      </w:r>
      <w:r w:rsidR="002E4C46" w:rsidRPr="00CA7996">
        <w:rPr>
          <w:rFonts w:ascii="Times New Roman" w:hAnsi="Times New Roman" w:cs="Times New Roman"/>
          <w:b/>
          <w:sz w:val="24"/>
          <w:szCs w:val="24"/>
        </w:rPr>
        <w:t>6</w:t>
      </w:r>
    </w:p>
    <w:p w14:paraId="6CCA4638" w14:textId="77777777" w:rsidR="004670F0" w:rsidRPr="00CA7996" w:rsidRDefault="004670F0" w:rsidP="004670F0">
      <w:pPr>
        <w:pStyle w:val="Zhlav"/>
        <w:tabs>
          <w:tab w:val="clear" w:pos="4536"/>
          <w:tab w:val="clear" w:pos="9072"/>
        </w:tabs>
        <w:rPr>
          <w:bCs/>
          <w:szCs w:val="24"/>
          <w:u w:val="single"/>
        </w:rPr>
      </w:pPr>
    </w:p>
    <w:p w14:paraId="26F4B10E" w14:textId="774712C8" w:rsidR="004670F0" w:rsidRPr="00CA7996" w:rsidRDefault="004670F0" w:rsidP="004670F0">
      <w:pPr>
        <w:pStyle w:val="Zhlav"/>
        <w:tabs>
          <w:tab w:val="clear" w:pos="4536"/>
          <w:tab w:val="clear" w:pos="9072"/>
        </w:tabs>
        <w:rPr>
          <w:bCs/>
          <w:i/>
          <w:szCs w:val="24"/>
        </w:rPr>
      </w:pPr>
      <w:r w:rsidRPr="00CA7996">
        <w:rPr>
          <w:bCs/>
          <w:i/>
          <w:szCs w:val="24"/>
          <w:u w:val="single"/>
        </w:rPr>
        <w:t>Hodnoceným obdobím se rozumí rok 20</w:t>
      </w:r>
      <w:r w:rsidR="009355E6" w:rsidRPr="00CA7996">
        <w:rPr>
          <w:bCs/>
          <w:i/>
          <w:szCs w:val="24"/>
          <w:u w:val="single"/>
        </w:rPr>
        <w:t>2</w:t>
      </w:r>
      <w:r w:rsidR="002E4C46" w:rsidRPr="00CA7996">
        <w:rPr>
          <w:bCs/>
          <w:i/>
          <w:szCs w:val="24"/>
          <w:u w:val="single"/>
        </w:rPr>
        <w:t>6</w:t>
      </w:r>
      <w:r w:rsidRPr="00CA7996">
        <w:rPr>
          <w:bCs/>
          <w:i/>
          <w:szCs w:val="24"/>
        </w:rPr>
        <w:t xml:space="preserve"> - do hodnoceného období jsou zařazeny veškeré hrazené služby poskytnuté v roce 202</w:t>
      </w:r>
      <w:r w:rsidR="002E4C46" w:rsidRPr="00CA7996">
        <w:rPr>
          <w:bCs/>
          <w:i/>
          <w:szCs w:val="24"/>
        </w:rPr>
        <w:t>6</w:t>
      </w:r>
      <w:r w:rsidRPr="00CA7996">
        <w:rPr>
          <w:bCs/>
          <w:i/>
          <w:szCs w:val="24"/>
        </w:rPr>
        <w:t>, poskytovatelem vykázané do 31. března 202</w:t>
      </w:r>
      <w:r w:rsidR="002E4C46" w:rsidRPr="00CA7996">
        <w:rPr>
          <w:bCs/>
          <w:i/>
          <w:szCs w:val="24"/>
        </w:rPr>
        <w:t>7</w:t>
      </w:r>
      <w:r w:rsidRPr="00CA7996">
        <w:rPr>
          <w:bCs/>
          <w:i/>
          <w:szCs w:val="24"/>
        </w:rPr>
        <w:t xml:space="preserve"> a</w:t>
      </w:r>
      <w:r w:rsidR="00AE73F7" w:rsidRPr="00CA7996">
        <w:rPr>
          <w:bCs/>
          <w:i/>
          <w:szCs w:val="24"/>
        </w:rPr>
        <w:t> </w:t>
      </w:r>
      <w:r w:rsidRPr="00CA7996">
        <w:rPr>
          <w:bCs/>
          <w:i/>
          <w:szCs w:val="24"/>
        </w:rPr>
        <w:t>zdravotní pojišťovnou uznané do 31. května 202</w:t>
      </w:r>
      <w:r w:rsidR="002E4C46" w:rsidRPr="00CA7996">
        <w:rPr>
          <w:bCs/>
          <w:i/>
          <w:szCs w:val="24"/>
        </w:rPr>
        <w:t>7</w:t>
      </w:r>
      <w:r w:rsidRPr="00CA7996">
        <w:rPr>
          <w:bCs/>
          <w:i/>
          <w:szCs w:val="24"/>
        </w:rPr>
        <w:t>.</w:t>
      </w:r>
    </w:p>
    <w:p w14:paraId="14393058" w14:textId="4E0D8648" w:rsidR="004670F0" w:rsidRPr="00CA7996" w:rsidRDefault="004670F0" w:rsidP="004670F0">
      <w:pPr>
        <w:pStyle w:val="Zhlav"/>
        <w:tabs>
          <w:tab w:val="clear" w:pos="4536"/>
          <w:tab w:val="clear" w:pos="9072"/>
        </w:tabs>
        <w:rPr>
          <w:bCs/>
          <w:i/>
          <w:szCs w:val="24"/>
        </w:rPr>
      </w:pPr>
      <w:r w:rsidRPr="00CA7996">
        <w:rPr>
          <w:bCs/>
          <w:i/>
          <w:szCs w:val="24"/>
          <w:u w:val="single"/>
        </w:rPr>
        <w:t>Referenčním obdobím se rozumí rok 20</w:t>
      </w:r>
      <w:r w:rsidR="000765A7" w:rsidRPr="00CA7996">
        <w:rPr>
          <w:bCs/>
          <w:i/>
          <w:szCs w:val="24"/>
          <w:u w:val="single"/>
        </w:rPr>
        <w:t>2</w:t>
      </w:r>
      <w:r w:rsidR="002E4C46" w:rsidRPr="00CA7996">
        <w:rPr>
          <w:bCs/>
          <w:i/>
          <w:szCs w:val="24"/>
          <w:u w:val="single"/>
        </w:rPr>
        <w:t>4</w:t>
      </w:r>
      <w:r w:rsidRPr="00CA7996">
        <w:rPr>
          <w:bCs/>
          <w:i/>
          <w:szCs w:val="24"/>
        </w:rPr>
        <w:t xml:space="preserve"> – do referenčního období jsou zařazeny veškeré hrazené služby poskytnuté v roce 20</w:t>
      </w:r>
      <w:r w:rsidR="000765A7" w:rsidRPr="00CA7996">
        <w:rPr>
          <w:bCs/>
          <w:i/>
          <w:szCs w:val="24"/>
        </w:rPr>
        <w:t>2</w:t>
      </w:r>
      <w:r w:rsidR="002E4C46" w:rsidRPr="00CA7996">
        <w:rPr>
          <w:bCs/>
          <w:i/>
          <w:szCs w:val="24"/>
        </w:rPr>
        <w:t>4</w:t>
      </w:r>
      <w:r w:rsidRPr="00CA7996">
        <w:rPr>
          <w:bCs/>
          <w:i/>
          <w:szCs w:val="24"/>
        </w:rPr>
        <w:t>, poskytovatelem vykázané do 31. března 202</w:t>
      </w:r>
      <w:r w:rsidR="002E4C46" w:rsidRPr="00CA7996">
        <w:rPr>
          <w:bCs/>
          <w:i/>
          <w:szCs w:val="24"/>
        </w:rPr>
        <w:t>5</w:t>
      </w:r>
      <w:r w:rsidRPr="00CA7996">
        <w:rPr>
          <w:bCs/>
          <w:i/>
          <w:szCs w:val="24"/>
        </w:rPr>
        <w:t xml:space="preserve"> a</w:t>
      </w:r>
      <w:r w:rsidR="00AE73F7" w:rsidRPr="00CA7996">
        <w:rPr>
          <w:bCs/>
          <w:i/>
          <w:szCs w:val="24"/>
        </w:rPr>
        <w:t> </w:t>
      </w:r>
      <w:r w:rsidRPr="00CA7996">
        <w:rPr>
          <w:bCs/>
          <w:i/>
          <w:szCs w:val="24"/>
        </w:rPr>
        <w:t>zdravotní pojišťovnou uznané do 31. května 202</w:t>
      </w:r>
      <w:r w:rsidR="002E4C46" w:rsidRPr="00CA7996">
        <w:rPr>
          <w:bCs/>
          <w:i/>
          <w:szCs w:val="24"/>
        </w:rPr>
        <w:t>5</w:t>
      </w:r>
      <w:r w:rsidRPr="00CA7996">
        <w:rPr>
          <w:bCs/>
          <w:i/>
          <w:szCs w:val="24"/>
        </w:rPr>
        <w:t>.</w:t>
      </w:r>
      <w:r w:rsidR="001B5FFD" w:rsidRPr="00CA7996">
        <w:rPr>
          <w:bCs/>
          <w:i/>
          <w:szCs w:val="24"/>
        </w:rPr>
        <w:t xml:space="preserve"> </w:t>
      </w:r>
    </w:p>
    <w:p w14:paraId="710053AB" w14:textId="77777777" w:rsidR="004670F0" w:rsidRPr="00CA7996" w:rsidRDefault="00546624" w:rsidP="00546624">
      <w:pPr>
        <w:pStyle w:val="Zhlav"/>
        <w:tabs>
          <w:tab w:val="clear" w:pos="4536"/>
          <w:tab w:val="clear" w:pos="9072"/>
          <w:tab w:val="left" w:pos="6336"/>
        </w:tabs>
        <w:rPr>
          <w:bCs/>
          <w:i/>
          <w:szCs w:val="24"/>
        </w:rPr>
      </w:pPr>
      <w:r w:rsidRPr="00CA7996">
        <w:rPr>
          <w:bCs/>
          <w:i/>
          <w:szCs w:val="24"/>
        </w:rPr>
        <w:tab/>
      </w:r>
    </w:p>
    <w:p w14:paraId="3496ADB3" w14:textId="77777777" w:rsidR="003224B4" w:rsidRPr="00CA7996" w:rsidRDefault="003224B4" w:rsidP="003224B4">
      <w:pPr>
        <w:pStyle w:val="Nadpis1"/>
        <w:numPr>
          <w:ilvl w:val="0"/>
          <w:numId w:val="14"/>
        </w:numPr>
        <w:spacing w:after="120"/>
        <w:ind w:left="426" w:hanging="426"/>
        <w:rPr>
          <w:rFonts w:ascii="Times New Roman" w:hAnsi="Times New Roman"/>
          <w:bCs w:val="0"/>
          <w:kern w:val="0"/>
          <w:sz w:val="24"/>
          <w:szCs w:val="24"/>
        </w:rPr>
      </w:pPr>
      <w:r w:rsidRPr="00CA7996">
        <w:rPr>
          <w:rFonts w:ascii="Times New Roman" w:hAnsi="Times New Roman"/>
          <w:bCs w:val="0"/>
          <w:kern w:val="0"/>
          <w:sz w:val="24"/>
          <w:szCs w:val="24"/>
        </w:rPr>
        <w:t>Hodnota bodu a výše úhrad</w:t>
      </w:r>
      <w:r w:rsidRPr="00CA7996">
        <w:rPr>
          <w:rFonts w:ascii="Times New Roman" w:hAnsi="Times New Roman"/>
          <w:bCs w:val="0"/>
          <w:kern w:val="0"/>
          <w:sz w:val="24"/>
          <w:szCs w:val="24"/>
          <w:u w:val="single"/>
        </w:rPr>
        <w:t xml:space="preserve"> </w:t>
      </w:r>
    </w:p>
    <w:p w14:paraId="13927922" w14:textId="5CE2650F" w:rsidR="003224B4" w:rsidRPr="00CA7996" w:rsidRDefault="003224B4" w:rsidP="00EC105F">
      <w:pPr>
        <w:pStyle w:val="Textbodu"/>
        <w:numPr>
          <w:ilvl w:val="0"/>
          <w:numId w:val="15"/>
        </w:numPr>
        <w:spacing w:after="120"/>
        <w:ind w:left="426" w:hanging="426"/>
        <w:rPr>
          <w:szCs w:val="24"/>
        </w:rPr>
      </w:pPr>
      <w:r w:rsidRPr="00CA7996">
        <w:rPr>
          <w:szCs w:val="24"/>
        </w:rPr>
        <w:t xml:space="preserve">Pro poskytovatele poskytující dialyzační péči se hodnota bodu stanoví ve výši </w:t>
      </w:r>
      <w:r w:rsidR="005C4BA8" w:rsidRPr="00CA7996">
        <w:rPr>
          <w:szCs w:val="24"/>
        </w:rPr>
        <w:t>1,</w:t>
      </w:r>
      <w:r w:rsidR="00F81869" w:rsidRPr="00CA7996">
        <w:rPr>
          <w:szCs w:val="24"/>
        </w:rPr>
        <w:t>1</w:t>
      </w:r>
      <w:r w:rsidR="006F50D9" w:rsidRPr="00CA7996">
        <w:rPr>
          <w:szCs w:val="24"/>
        </w:rPr>
        <w:t>6</w:t>
      </w:r>
      <w:r w:rsidR="00333012" w:rsidRPr="00CA7996">
        <w:rPr>
          <w:szCs w:val="24"/>
        </w:rPr>
        <w:t xml:space="preserve"> </w:t>
      </w:r>
      <w:r w:rsidRPr="00CA7996">
        <w:rPr>
          <w:szCs w:val="24"/>
        </w:rPr>
        <w:t xml:space="preserve">Kč, s výjimkou nasmlouvaných výkonů č. 18530 a 18550 podle seznamu výkonů, pro které se stanoví hodnota bodu ve výši </w:t>
      </w:r>
      <w:r w:rsidR="001B5FFD" w:rsidRPr="00CA7996">
        <w:rPr>
          <w:szCs w:val="24"/>
        </w:rPr>
        <w:t>0,</w:t>
      </w:r>
      <w:r w:rsidR="00F81869" w:rsidRPr="00CA7996">
        <w:rPr>
          <w:szCs w:val="24"/>
        </w:rPr>
        <w:t>9</w:t>
      </w:r>
      <w:r w:rsidR="006F50D9" w:rsidRPr="00CA7996">
        <w:rPr>
          <w:szCs w:val="24"/>
        </w:rPr>
        <w:t>0</w:t>
      </w:r>
      <w:r w:rsidRPr="00CA7996">
        <w:rPr>
          <w:szCs w:val="24"/>
        </w:rPr>
        <w:t xml:space="preserve"> Kč.</w:t>
      </w:r>
    </w:p>
    <w:p w14:paraId="753DBD4E" w14:textId="04D9311B" w:rsidR="00C86C74" w:rsidRPr="00CA7996" w:rsidRDefault="003C3FA5" w:rsidP="00EC105F">
      <w:pPr>
        <w:pStyle w:val="Textodstavce"/>
        <w:numPr>
          <w:ilvl w:val="0"/>
          <w:numId w:val="15"/>
        </w:numPr>
        <w:tabs>
          <w:tab w:val="clear" w:pos="851"/>
        </w:tabs>
        <w:spacing w:before="0"/>
        <w:ind w:left="426" w:hanging="426"/>
        <w:rPr>
          <w:szCs w:val="24"/>
        </w:rPr>
      </w:pPr>
      <w:r w:rsidRPr="00CA7996">
        <w:rPr>
          <w:szCs w:val="24"/>
          <w:u w:val="single"/>
        </w:rPr>
        <w:t>Hodnocení kvality poskytované dialyzační péče</w:t>
      </w:r>
      <w:r w:rsidRPr="00CA7996">
        <w:rPr>
          <w:szCs w:val="24"/>
        </w:rPr>
        <w:t xml:space="preserve">: </w:t>
      </w:r>
      <w:r w:rsidR="00C86C74" w:rsidRPr="00CA7996">
        <w:rPr>
          <w:szCs w:val="24"/>
        </w:rPr>
        <w:t>Pokud poskytovatel v hodnoceném období kvartálně referoval výsledky jím poskytované dialyzační léčby minimálně u 90 % pojištěnců</w:t>
      </w:r>
      <w:r w:rsidR="00C404D0" w:rsidRPr="00CA7996">
        <w:rPr>
          <w:szCs w:val="24"/>
        </w:rPr>
        <w:t xml:space="preserve"> v pravidelném dialyzačním léčení</w:t>
      </w:r>
      <w:r w:rsidR="00C86C74" w:rsidRPr="00CA7996">
        <w:rPr>
          <w:szCs w:val="24"/>
        </w:rPr>
        <w:t xml:space="preserve"> ošetřených na </w:t>
      </w:r>
      <w:r w:rsidR="00F65231" w:rsidRPr="00CA7996">
        <w:rPr>
          <w:szCs w:val="24"/>
        </w:rPr>
        <w:t>jednotlivých</w:t>
      </w:r>
      <w:r w:rsidR="00C86C74" w:rsidRPr="00CA7996">
        <w:rPr>
          <w:szCs w:val="24"/>
        </w:rPr>
        <w:t xml:space="preserve"> pracoviš</w:t>
      </w:r>
      <w:r w:rsidR="00F65231" w:rsidRPr="00CA7996">
        <w:rPr>
          <w:szCs w:val="24"/>
        </w:rPr>
        <w:t>tích (dialyzační střediska)</w:t>
      </w:r>
      <w:r w:rsidR="00C404D0" w:rsidRPr="00CA7996">
        <w:rPr>
          <w:szCs w:val="24"/>
        </w:rPr>
        <w:t xml:space="preserve"> </w:t>
      </w:r>
      <w:r w:rsidR="00C86C74" w:rsidRPr="00CA7996">
        <w:rPr>
          <w:szCs w:val="24"/>
        </w:rPr>
        <w:t>do Registru dialyzovaných pacientů vedeného Českou nefrologickou společností, o.s., pak z</w:t>
      </w:r>
      <w:r w:rsidR="003224B4" w:rsidRPr="00CA7996">
        <w:rPr>
          <w:szCs w:val="24"/>
        </w:rPr>
        <w:t xml:space="preserve">dravotní pojišťovna nejpozději do </w:t>
      </w:r>
      <w:r w:rsidR="00B25236" w:rsidRPr="00CA7996">
        <w:rPr>
          <w:szCs w:val="24"/>
        </w:rPr>
        <w:t>31</w:t>
      </w:r>
      <w:r w:rsidR="003224B4" w:rsidRPr="00CA7996">
        <w:rPr>
          <w:szCs w:val="24"/>
        </w:rPr>
        <w:t xml:space="preserve">. </w:t>
      </w:r>
      <w:r w:rsidR="00B25236" w:rsidRPr="00CA7996">
        <w:rPr>
          <w:szCs w:val="24"/>
        </w:rPr>
        <w:t>března</w:t>
      </w:r>
      <w:r w:rsidR="003224B4" w:rsidRPr="00CA7996">
        <w:rPr>
          <w:szCs w:val="24"/>
        </w:rPr>
        <w:t xml:space="preserve"> </w:t>
      </w:r>
      <w:r w:rsidR="002E4C46" w:rsidRPr="00CA7996">
        <w:rPr>
          <w:szCs w:val="24"/>
        </w:rPr>
        <w:t>kalendářního roku následujícího po skončení hodnoceného období</w:t>
      </w:r>
      <w:r w:rsidR="003224B4" w:rsidRPr="00CA7996">
        <w:rPr>
          <w:szCs w:val="24"/>
        </w:rPr>
        <w:t xml:space="preserve"> </w:t>
      </w:r>
      <w:r w:rsidR="00F62C8B" w:rsidRPr="00CA7996">
        <w:rPr>
          <w:szCs w:val="24"/>
        </w:rPr>
        <w:t xml:space="preserve">z dat reportovaných do Registru dialyzovaných pacientů </w:t>
      </w:r>
      <w:r w:rsidR="003224B4" w:rsidRPr="00CA7996">
        <w:rPr>
          <w:szCs w:val="24"/>
        </w:rPr>
        <w:t xml:space="preserve">vyhodnotí </w:t>
      </w:r>
      <w:r w:rsidR="00F62C8B" w:rsidRPr="00CA7996">
        <w:rPr>
          <w:szCs w:val="24"/>
        </w:rPr>
        <w:t>ve spolupráci s Českou nefrologickou společnosti, o.s.</w:t>
      </w:r>
      <w:r w:rsidR="00FB53B6" w:rsidRPr="00CA7996">
        <w:rPr>
          <w:szCs w:val="24"/>
        </w:rPr>
        <w:t xml:space="preserve"> níže uvedená</w:t>
      </w:r>
      <w:r w:rsidR="00F62C8B" w:rsidRPr="00CA7996">
        <w:rPr>
          <w:szCs w:val="24"/>
        </w:rPr>
        <w:t xml:space="preserve"> </w:t>
      </w:r>
      <w:r w:rsidR="003224B4" w:rsidRPr="00CA7996">
        <w:rPr>
          <w:szCs w:val="24"/>
        </w:rPr>
        <w:t xml:space="preserve">kvalitativní kritéria </w:t>
      </w:r>
      <w:r w:rsidRPr="00CA7996">
        <w:rPr>
          <w:szCs w:val="24"/>
        </w:rPr>
        <w:t xml:space="preserve">a navýší hodnotu bodu </w:t>
      </w:r>
      <w:r w:rsidR="003224B4" w:rsidRPr="00CA7996">
        <w:rPr>
          <w:szCs w:val="24"/>
        </w:rPr>
        <w:t>za jednotlivá pracoviště poskytovatele</w:t>
      </w:r>
      <w:r w:rsidRPr="00CA7996">
        <w:rPr>
          <w:szCs w:val="24"/>
        </w:rPr>
        <w:t xml:space="preserve"> dle </w:t>
      </w:r>
      <w:r w:rsidR="00C404D0" w:rsidRPr="00CA7996">
        <w:rPr>
          <w:szCs w:val="24"/>
        </w:rPr>
        <w:t>následujících</w:t>
      </w:r>
      <w:r w:rsidRPr="00CA7996">
        <w:rPr>
          <w:szCs w:val="24"/>
        </w:rPr>
        <w:t xml:space="preserve"> podmínek:</w:t>
      </w:r>
      <w:r w:rsidR="003224B4" w:rsidRPr="00CA7996">
        <w:rPr>
          <w:szCs w:val="24"/>
        </w:rPr>
        <w:t xml:space="preserve"> </w:t>
      </w:r>
    </w:p>
    <w:p w14:paraId="0A8F1E20" w14:textId="7C75F1F1" w:rsidR="00FB53B6" w:rsidRPr="009C7B07" w:rsidRDefault="00F65231" w:rsidP="0034053F">
      <w:pPr>
        <w:pStyle w:val="Zkladntextodsazen"/>
        <w:widowControl w:val="0"/>
        <w:numPr>
          <w:ilvl w:val="1"/>
          <w:numId w:val="15"/>
        </w:numPr>
        <w:spacing w:after="240"/>
        <w:ind w:left="851" w:hanging="284"/>
        <w:rPr>
          <w:sz w:val="24"/>
          <w:szCs w:val="24"/>
        </w:rPr>
      </w:pPr>
      <w:r w:rsidRPr="00CA7996">
        <w:rPr>
          <w:sz w:val="24"/>
          <w:szCs w:val="24"/>
        </w:rPr>
        <w:t xml:space="preserve">Za pacienta v pravidelném dialyzačním léčení se považuje pojištěnec, u kterého jsou pravidelně prováděny výkony dialyzačních nebo hemoeliminačních metod nebo peritoneální dialýzy podle seznamu výkonů, a to alespoň do 90 dní od prvního dne </w:t>
      </w:r>
      <w:r w:rsidRPr="009C7B07">
        <w:rPr>
          <w:sz w:val="24"/>
          <w:szCs w:val="24"/>
        </w:rPr>
        <w:t>jejich vykázání</w:t>
      </w:r>
      <w:r w:rsidR="00FB53B6" w:rsidRPr="009C7B07">
        <w:rPr>
          <w:sz w:val="24"/>
          <w:szCs w:val="24"/>
        </w:rPr>
        <w:t>.</w:t>
      </w:r>
    </w:p>
    <w:p w14:paraId="4B92E753" w14:textId="1E53C925" w:rsidR="003224B4" w:rsidRPr="009C7B07" w:rsidRDefault="003224B4" w:rsidP="0034053F">
      <w:pPr>
        <w:pStyle w:val="Zkladntextodsazen"/>
        <w:widowControl w:val="0"/>
        <w:numPr>
          <w:ilvl w:val="1"/>
          <w:numId w:val="15"/>
        </w:numPr>
        <w:spacing w:after="240"/>
        <w:ind w:left="851"/>
        <w:rPr>
          <w:szCs w:val="24"/>
        </w:rPr>
      </w:pPr>
      <w:r w:rsidRPr="009C7B07">
        <w:rPr>
          <w:sz w:val="24"/>
          <w:szCs w:val="24"/>
        </w:rPr>
        <w:t xml:space="preserve">Hodnota bodu podle bodu 1 se </w:t>
      </w:r>
      <w:r w:rsidR="00F65231" w:rsidRPr="009C7B07">
        <w:rPr>
          <w:sz w:val="24"/>
          <w:szCs w:val="24"/>
        </w:rPr>
        <w:t>navýší danému pracovišti poskytovatele o</w:t>
      </w:r>
      <w:r w:rsidR="00FB53B6" w:rsidRPr="009C7B07">
        <w:rPr>
          <w:sz w:val="24"/>
          <w:szCs w:val="24"/>
        </w:rPr>
        <w:t xml:space="preserve"> </w:t>
      </w:r>
      <w:r w:rsidR="00F65231" w:rsidRPr="009C7B07">
        <w:rPr>
          <w:sz w:val="24"/>
          <w:szCs w:val="24"/>
        </w:rPr>
        <w:t>0,0</w:t>
      </w:r>
      <w:r w:rsidR="007D17F2" w:rsidRPr="009C7B07">
        <w:rPr>
          <w:sz w:val="24"/>
          <w:szCs w:val="24"/>
        </w:rPr>
        <w:t>5</w:t>
      </w:r>
      <w:r w:rsidR="00F65231" w:rsidRPr="009C7B07">
        <w:rPr>
          <w:sz w:val="24"/>
          <w:szCs w:val="24"/>
        </w:rPr>
        <w:t xml:space="preserve"> Kč, po</w:t>
      </w:r>
      <w:r w:rsidR="001460A1" w:rsidRPr="009C7B07">
        <w:rPr>
          <w:sz w:val="24"/>
          <w:szCs w:val="24"/>
        </w:rPr>
        <w:t xml:space="preserve">kud </w:t>
      </w:r>
      <w:r w:rsidR="00C404D0" w:rsidRPr="009C7B07">
        <w:rPr>
          <w:sz w:val="24"/>
          <w:szCs w:val="24"/>
        </w:rPr>
        <w:t>toto</w:t>
      </w:r>
      <w:r w:rsidR="001460A1" w:rsidRPr="009C7B07">
        <w:rPr>
          <w:sz w:val="24"/>
          <w:szCs w:val="24"/>
        </w:rPr>
        <w:t xml:space="preserve"> pracoviště poskytovatele splní </w:t>
      </w:r>
      <w:r w:rsidR="007D17F2" w:rsidRPr="009C7B07">
        <w:rPr>
          <w:sz w:val="24"/>
          <w:szCs w:val="24"/>
        </w:rPr>
        <w:t xml:space="preserve">1. úroveň plnění níže uvedených kritérií, nebo o 0,07 Kč, v případě, že toto pracoviště poskytovatele splní 2. úroveň plnění níže uvedených </w:t>
      </w:r>
      <w:r w:rsidR="00FB53B6" w:rsidRPr="009C7B07">
        <w:rPr>
          <w:sz w:val="24"/>
          <w:szCs w:val="24"/>
        </w:rPr>
        <w:t>kritérií</w:t>
      </w:r>
      <w:r w:rsidR="001460A1" w:rsidRPr="009C7B07">
        <w:rPr>
          <w:sz w:val="24"/>
          <w:szCs w:val="24"/>
        </w:rPr>
        <w:t>:</w:t>
      </w:r>
    </w:p>
    <w:tbl>
      <w:tblPr>
        <w:tblStyle w:val="Mkatabulky"/>
        <w:tblpPr w:leftFromText="141" w:rightFromText="141" w:vertAnchor="text" w:horzAnchor="margin" w:tblpXSpec="right" w:tblpY="43"/>
        <w:tblW w:w="0" w:type="auto"/>
        <w:tblLook w:val="04A0" w:firstRow="1" w:lastRow="0" w:firstColumn="1" w:lastColumn="0" w:noHBand="0" w:noVBand="1"/>
      </w:tblPr>
      <w:tblGrid>
        <w:gridCol w:w="1420"/>
        <w:gridCol w:w="2298"/>
        <w:gridCol w:w="2952"/>
        <w:gridCol w:w="2392"/>
      </w:tblGrid>
      <w:tr w:rsidR="007D17F2" w:rsidRPr="009C7B07" w14:paraId="6507EE51" w14:textId="1BD50450" w:rsidTr="007D17F2">
        <w:tc>
          <w:tcPr>
            <w:tcW w:w="3718" w:type="dxa"/>
            <w:gridSpan w:val="2"/>
            <w:vAlign w:val="center"/>
          </w:tcPr>
          <w:p w14:paraId="5DC130DE" w14:textId="77777777" w:rsidR="007D17F2" w:rsidRPr="009C7B07" w:rsidRDefault="007D17F2" w:rsidP="00B003B2">
            <w:pPr>
              <w:pStyle w:val="Zkladntextodsazen"/>
              <w:widowControl w:val="0"/>
              <w:ind w:firstLine="0"/>
              <w:jc w:val="center"/>
              <w:rPr>
                <w:sz w:val="22"/>
                <w:szCs w:val="22"/>
              </w:rPr>
            </w:pPr>
            <w:r w:rsidRPr="009C7B07">
              <w:rPr>
                <w:sz w:val="22"/>
                <w:szCs w:val="22"/>
              </w:rPr>
              <w:t>Parametr kvality dialyzační léčby</w:t>
            </w:r>
          </w:p>
        </w:tc>
        <w:tc>
          <w:tcPr>
            <w:tcW w:w="2952" w:type="dxa"/>
            <w:vAlign w:val="center"/>
          </w:tcPr>
          <w:p w14:paraId="577CAD0F" w14:textId="399E3C94" w:rsidR="007D17F2" w:rsidRPr="009C7B07" w:rsidRDefault="007D17F2" w:rsidP="00B003B2">
            <w:pPr>
              <w:pStyle w:val="Zkladntextodsazen"/>
              <w:widowControl w:val="0"/>
              <w:ind w:firstLine="0"/>
              <w:jc w:val="center"/>
              <w:rPr>
                <w:sz w:val="22"/>
                <w:szCs w:val="22"/>
              </w:rPr>
            </w:pPr>
            <w:r w:rsidRPr="009C7B07">
              <w:rPr>
                <w:sz w:val="22"/>
                <w:szCs w:val="22"/>
              </w:rPr>
              <w:t>1. úroveň plnění kritérií: Minimální podíl referovaných pojištěnců ošetřených na pracovišti poskytovatele plnících daný parametr kvality</w:t>
            </w:r>
          </w:p>
        </w:tc>
        <w:tc>
          <w:tcPr>
            <w:tcW w:w="2392" w:type="dxa"/>
          </w:tcPr>
          <w:p w14:paraId="56134009" w14:textId="45009E6C" w:rsidR="007D17F2" w:rsidRPr="009C7B07" w:rsidRDefault="007D17F2" w:rsidP="00B003B2">
            <w:pPr>
              <w:pStyle w:val="Zkladntextodsazen"/>
              <w:widowControl w:val="0"/>
              <w:ind w:firstLine="0"/>
              <w:jc w:val="center"/>
              <w:rPr>
                <w:sz w:val="22"/>
                <w:szCs w:val="22"/>
              </w:rPr>
            </w:pPr>
            <w:r w:rsidRPr="009C7B07">
              <w:rPr>
                <w:sz w:val="22"/>
                <w:szCs w:val="22"/>
              </w:rPr>
              <w:t>2. úroveň plnění kritérií: Minimální podíl referovaných pojištěnců ošetřených na pracovišti poskytovatele plnících daný parametr kvality</w:t>
            </w:r>
          </w:p>
        </w:tc>
      </w:tr>
      <w:tr w:rsidR="007D17F2" w:rsidRPr="009C7B07" w14:paraId="00D02C4E" w14:textId="3B8C8458" w:rsidTr="007D17F2">
        <w:tc>
          <w:tcPr>
            <w:tcW w:w="3718" w:type="dxa"/>
            <w:gridSpan w:val="2"/>
          </w:tcPr>
          <w:p w14:paraId="7C4E7968" w14:textId="77777777" w:rsidR="007D17F2" w:rsidRPr="009C7B07" w:rsidRDefault="007D17F2" w:rsidP="00833F09">
            <w:pPr>
              <w:pStyle w:val="Zkladntextodsazen"/>
              <w:widowControl w:val="0"/>
              <w:ind w:firstLine="0"/>
              <w:jc w:val="left"/>
              <w:rPr>
                <w:sz w:val="22"/>
                <w:szCs w:val="22"/>
              </w:rPr>
            </w:pPr>
            <w:r w:rsidRPr="009C7B07">
              <w:rPr>
                <w:sz w:val="22"/>
                <w:szCs w:val="22"/>
              </w:rPr>
              <w:t xml:space="preserve">Hodnota </w:t>
            </w:r>
            <w:proofErr w:type="spellStart"/>
            <w:r w:rsidRPr="009C7B07">
              <w:rPr>
                <w:sz w:val="22"/>
                <w:szCs w:val="22"/>
              </w:rPr>
              <w:t>Hb</w:t>
            </w:r>
            <w:proofErr w:type="spellEnd"/>
            <w:r w:rsidRPr="009C7B07">
              <w:rPr>
                <w:sz w:val="22"/>
                <w:szCs w:val="22"/>
              </w:rPr>
              <w:t xml:space="preserve"> &gt; 100 g/l</w:t>
            </w:r>
          </w:p>
        </w:tc>
        <w:tc>
          <w:tcPr>
            <w:tcW w:w="2952" w:type="dxa"/>
          </w:tcPr>
          <w:p w14:paraId="69947EC5" w14:textId="77777777" w:rsidR="007D17F2" w:rsidRPr="009C7B07" w:rsidRDefault="007D17F2" w:rsidP="00833F09">
            <w:pPr>
              <w:pStyle w:val="Zkladntextodsazen"/>
              <w:widowControl w:val="0"/>
              <w:ind w:firstLine="0"/>
              <w:jc w:val="center"/>
              <w:rPr>
                <w:sz w:val="22"/>
                <w:szCs w:val="22"/>
              </w:rPr>
            </w:pPr>
            <w:r w:rsidRPr="009C7B07">
              <w:rPr>
                <w:sz w:val="22"/>
                <w:szCs w:val="22"/>
              </w:rPr>
              <w:t>70 %</w:t>
            </w:r>
          </w:p>
        </w:tc>
        <w:tc>
          <w:tcPr>
            <w:tcW w:w="2392" w:type="dxa"/>
          </w:tcPr>
          <w:p w14:paraId="18BDED1A" w14:textId="4FBF46CE" w:rsidR="007D17F2" w:rsidRPr="009C7B07" w:rsidRDefault="009C7B07" w:rsidP="00833F09">
            <w:pPr>
              <w:pStyle w:val="Zkladntextodsazen"/>
              <w:widowControl w:val="0"/>
              <w:ind w:firstLine="0"/>
              <w:jc w:val="center"/>
              <w:rPr>
                <w:sz w:val="22"/>
                <w:szCs w:val="22"/>
              </w:rPr>
            </w:pPr>
            <w:r w:rsidRPr="009C7B07">
              <w:rPr>
                <w:sz w:val="22"/>
                <w:szCs w:val="22"/>
              </w:rPr>
              <w:t>85</w:t>
            </w:r>
            <w:r w:rsidR="007D17F2" w:rsidRPr="009C7B07">
              <w:rPr>
                <w:sz w:val="22"/>
                <w:szCs w:val="22"/>
              </w:rPr>
              <w:t xml:space="preserve"> %</w:t>
            </w:r>
          </w:p>
        </w:tc>
      </w:tr>
      <w:tr w:rsidR="007D17F2" w:rsidRPr="009C7B07" w14:paraId="5B9C14C0" w14:textId="493DBCB6" w:rsidTr="007D17F2">
        <w:tc>
          <w:tcPr>
            <w:tcW w:w="3718" w:type="dxa"/>
            <w:gridSpan w:val="2"/>
          </w:tcPr>
          <w:p w14:paraId="4D404C8E" w14:textId="77777777" w:rsidR="007D17F2" w:rsidRPr="009C7B07" w:rsidRDefault="007D17F2" w:rsidP="00833F09">
            <w:pPr>
              <w:pStyle w:val="Zkladntextodsazen"/>
              <w:widowControl w:val="0"/>
              <w:ind w:firstLine="0"/>
              <w:jc w:val="left"/>
              <w:rPr>
                <w:sz w:val="22"/>
                <w:szCs w:val="22"/>
              </w:rPr>
            </w:pPr>
            <w:r w:rsidRPr="009C7B07">
              <w:rPr>
                <w:sz w:val="22"/>
                <w:szCs w:val="22"/>
              </w:rPr>
              <w:t>Hodnota P &lt; 1,8 mmol/l</w:t>
            </w:r>
          </w:p>
        </w:tc>
        <w:tc>
          <w:tcPr>
            <w:tcW w:w="2952" w:type="dxa"/>
          </w:tcPr>
          <w:p w14:paraId="36C5C179" w14:textId="77777777" w:rsidR="007D17F2" w:rsidRPr="009C7B07" w:rsidRDefault="007D17F2" w:rsidP="00833F09">
            <w:pPr>
              <w:pStyle w:val="Zkladntextodsazen"/>
              <w:widowControl w:val="0"/>
              <w:ind w:firstLine="0"/>
              <w:jc w:val="center"/>
              <w:rPr>
                <w:sz w:val="22"/>
                <w:szCs w:val="22"/>
              </w:rPr>
            </w:pPr>
            <w:r w:rsidRPr="009C7B07">
              <w:rPr>
                <w:sz w:val="22"/>
                <w:szCs w:val="22"/>
              </w:rPr>
              <w:t>50 %</w:t>
            </w:r>
          </w:p>
        </w:tc>
        <w:tc>
          <w:tcPr>
            <w:tcW w:w="2392" w:type="dxa"/>
          </w:tcPr>
          <w:p w14:paraId="607D69C8" w14:textId="4E97AE3B" w:rsidR="007D17F2" w:rsidRPr="009C7B07" w:rsidRDefault="009C7B07" w:rsidP="00833F09">
            <w:pPr>
              <w:pStyle w:val="Zkladntextodsazen"/>
              <w:widowControl w:val="0"/>
              <w:ind w:firstLine="0"/>
              <w:jc w:val="center"/>
              <w:rPr>
                <w:sz w:val="22"/>
                <w:szCs w:val="22"/>
              </w:rPr>
            </w:pPr>
            <w:r w:rsidRPr="009C7B07">
              <w:rPr>
                <w:sz w:val="22"/>
                <w:szCs w:val="22"/>
              </w:rPr>
              <w:t>65</w:t>
            </w:r>
            <w:r w:rsidR="007D17F2" w:rsidRPr="009C7B07">
              <w:rPr>
                <w:sz w:val="22"/>
                <w:szCs w:val="22"/>
              </w:rPr>
              <w:t xml:space="preserve"> %</w:t>
            </w:r>
          </w:p>
        </w:tc>
      </w:tr>
      <w:tr w:rsidR="007D17F2" w:rsidRPr="009C7B07" w14:paraId="61A42CA2" w14:textId="46500B6D" w:rsidTr="007D17F2">
        <w:trPr>
          <w:trHeight w:val="90"/>
        </w:trPr>
        <w:tc>
          <w:tcPr>
            <w:tcW w:w="1420" w:type="dxa"/>
            <w:vMerge w:val="restart"/>
            <w:vAlign w:val="center"/>
          </w:tcPr>
          <w:p w14:paraId="23C21FB4" w14:textId="48BA911C" w:rsidR="007D17F2" w:rsidRPr="009C7B07" w:rsidRDefault="007D17F2" w:rsidP="006F50D9">
            <w:pPr>
              <w:pStyle w:val="Zkladntextodsazen"/>
              <w:widowControl w:val="0"/>
              <w:ind w:firstLine="0"/>
              <w:jc w:val="left"/>
              <w:rPr>
                <w:sz w:val="22"/>
                <w:szCs w:val="22"/>
              </w:rPr>
            </w:pPr>
            <w:r w:rsidRPr="009C7B07">
              <w:rPr>
                <w:sz w:val="22"/>
                <w:szCs w:val="22"/>
              </w:rPr>
              <w:t xml:space="preserve">Hodnota </w:t>
            </w:r>
            <w:proofErr w:type="spellStart"/>
            <w:r w:rsidRPr="009C7B07">
              <w:rPr>
                <w:sz w:val="22"/>
                <w:szCs w:val="22"/>
              </w:rPr>
              <w:t>KtV</w:t>
            </w:r>
            <w:proofErr w:type="spellEnd"/>
          </w:p>
        </w:tc>
        <w:tc>
          <w:tcPr>
            <w:tcW w:w="2298" w:type="dxa"/>
          </w:tcPr>
          <w:p w14:paraId="0DD4E2C5" w14:textId="449B4C09" w:rsidR="007D17F2" w:rsidRPr="009C7B07" w:rsidRDefault="007D17F2" w:rsidP="00833F09">
            <w:pPr>
              <w:pStyle w:val="Zkladntextodsazen"/>
              <w:widowControl w:val="0"/>
              <w:ind w:firstLine="0"/>
              <w:jc w:val="left"/>
              <w:rPr>
                <w:sz w:val="22"/>
                <w:szCs w:val="22"/>
              </w:rPr>
            </w:pPr>
            <w:r w:rsidRPr="009C7B07">
              <w:rPr>
                <w:sz w:val="22"/>
                <w:szCs w:val="22"/>
              </w:rPr>
              <w:t>Hemodialýza: eKt/V &gt; 1,2</w:t>
            </w:r>
          </w:p>
        </w:tc>
        <w:tc>
          <w:tcPr>
            <w:tcW w:w="2952" w:type="dxa"/>
            <w:vMerge w:val="restart"/>
            <w:vAlign w:val="center"/>
          </w:tcPr>
          <w:p w14:paraId="3B0C4AF3" w14:textId="77777777" w:rsidR="007D17F2" w:rsidRPr="009C7B07" w:rsidRDefault="007D17F2" w:rsidP="006F50D9">
            <w:pPr>
              <w:pStyle w:val="Zkladntextodsazen"/>
              <w:widowControl w:val="0"/>
              <w:ind w:firstLine="0"/>
              <w:jc w:val="center"/>
              <w:rPr>
                <w:sz w:val="22"/>
                <w:szCs w:val="22"/>
              </w:rPr>
            </w:pPr>
            <w:r w:rsidRPr="009C7B07">
              <w:rPr>
                <w:sz w:val="22"/>
                <w:szCs w:val="22"/>
              </w:rPr>
              <w:t>70 %</w:t>
            </w:r>
          </w:p>
        </w:tc>
        <w:tc>
          <w:tcPr>
            <w:tcW w:w="2392" w:type="dxa"/>
            <w:vMerge w:val="restart"/>
            <w:vAlign w:val="center"/>
          </w:tcPr>
          <w:p w14:paraId="07D33269" w14:textId="4CFF56C0" w:rsidR="007D17F2" w:rsidRPr="009C7B07" w:rsidRDefault="007D17F2" w:rsidP="007D17F2">
            <w:pPr>
              <w:pStyle w:val="Zkladntextodsazen"/>
              <w:widowControl w:val="0"/>
              <w:ind w:firstLine="0"/>
              <w:jc w:val="center"/>
              <w:rPr>
                <w:sz w:val="22"/>
                <w:szCs w:val="22"/>
              </w:rPr>
            </w:pPr>
            <w:r w:rsidRPr="009C7B07">
              <w:rPr>
                <w:sz w:val="22"/>
                <w:szCs w:val="22"/>
              </w:rPr>
              <w:t>90 %</w:t>
            </w:r>
          </w:p>
        </w:tc>
      </w:tr>
      <w:tr w:rsidR="007D17F2" w:rsidRPr="009C7B07" w14:paraId="3F33CA9F" w14:textId="4C41A981" w:rsidTr="007D17F2">
        <w:trPr>
          <w:trHeight w:val="90"/>
        </w:trPr>
        <w:tc>
          <w:tcPr>
            <w:tcW w:w="1420" w:type="dxa"/>
            <w:vMerge/>
          </w:tcPr>
          <w:p w14:paraId="6EE846DE" w14:textId="77777777" w:rsidR="007D17F2" w:rsidRPr="009C7B07" w:rsidRDefault="007D17F2" w:rsidP="00833F09">
            <w:pPr>
              <w:pStyle w:val="Zkladntextodsazen"/>
              <w:widowControl w:val="0"/>
              <w:ind w:firstLine="0"/>
              <w:jc w:val="left"/>
              <w:rPr>
                <w:sz w:val="22"/>
                <w:szCs w:val="22"/>
              </w:rPr>
            </w:pPr>
          </w:p>
        </w:tc>
        <w:tc>
          <w:tcPr>
            <w:tcW w:w="2298" w:type="dxa"/>
          </w:tcPr>
          <w:p w14:paraId="5B2AE8F7" w14:textId="67BFB744" w:rsidR="007D17F2" w:rsidRPr="009C7B07" w:rsidRDefault="007D17F2" w:rsidP="00833F09">
            <w:pPr>
              <w:pStyle w:val="Zkladntextodsazen"/>
              <w:widowControl w:val="0"/>
              <w:ind w:firstLine="0"/>
              <w:jc w:val="left"/>
              <w:rPr>
                <w:sz w:val="22"/>
                <w:szCs w:val="22"/>
              </w:rPr>
            </w:pPr>
            <w:r w:rsidRPr="009C7B07">
              <w:rPr>
                <w:sz w:val="22"/>
                <w:szCs w:val="22"/>
              </w:rPr>
              <w:t xml:space="preserve">Peritoneální dialýza: </w:t>
            </w:r>
            <w:r w:rsidRPr="009C7B07">
              <w:rPr>
                <w:sz w:val="22"/>
                <w:szCs w:val="22"/>
              </w:rPr>
              <w:br/>
              <w:t>wKt/V &gt; 1,7</w:t>
            </w:r>
          </w:p>
        </w:tc>
        <w:tc>
          <w:tcPr>
            <w:tcW w:w="2952" w:type="dxa"/>
            <w:vMerge/>
          </w:tcPr>
          <w:p w14:paraId="1838341C" w14:textId="77777777" w:rsidR="007D17F2" w:rsidRPr="009C7B07" w:rsidRDefault="007D17F2" w:rsidP="00833F09">
            <w:pPr>
              <w:pStyle w:val="Zkladntextodsazen"/>
              <w:widowControl w:val="0"/>
              <w:ind w:firstLine="0"/>
              <w:jc w:val="center"/>
              <w:rPr>
                <w:sz w:val="22"/>
                <w:szCs w:val="22"/>
              </w:rPr>
            </w:pPr>
          </w:p>
        </w:tc>
        <w:tc>
          <w:tcPr>
            <w:tcW w:w="2392" w:type="dxa"/>
            <w:vMerge/>
          </w:tcPr>
          <w:p w14:paraId="0E109F05" w14:textId="77777777" w:rsidR="007D17F2" w:rsidRPr="009C7B07" w:rsidRDefault="007D17F2" w:rsidP="00833F09">
            <w:pPr>
              <w:pStyle w:val="Zkladntextodsazen"/>
              <w:widowControl w:val="0"/>
              <w:ind w:firstLine="0"/>
              <w:jc w:val="center"/>
              <w:rPr>
                <w:sz w:val="22"/>
                <w:szCs w:val="22"/>
              </w:rPr>
            </w:pPr>
          </w:p>
        </w:tc>
      </w:tr>
      <w:tr w:rsidR="007D17F2" w:rsidRPr="009C7B07" w14:paraId="2E6BEE7B" w14:textId="2EB13E89" w:rsidTr="007D17F2">
        <w:trPr>
          <w:trHeight w:val="90"/>
        </w:trPr>
        <w:tc>
          <w:tcPr>
            <w:tcW w:w="1420" w:type="dxa"/>
            <w:vMerge/>
          </w:tcPr>
          <w:p w14:paraId="40BD95FB" w14:textId="77777777" w:rsidR="007D17F2" w:rsidRPr="009C7B07" w:rsidRDefault="007D17F2" w:rsidP="00833F09">
            <w:pPr>
              <w:pStyle w:val="Zkladntextodsazen"/>
              <w:widowControl w:val="0"/>
              <w:ind w:firstLine="0"/>
              <w:jc w:val="left"/>
              <w:rPr>
                <w:sz w:val="22"/>
                <w:szCs w:val="22"/>
              </w:rPr>
            </w:pPr>
          </w:p>
        </w:tc>
        <w:tc>
          <w:tcPr>
            <w:tcW w:w="2298" w:type="dxa"/>
          </w:tcPr>
          <w:p w14:paraId="40F1154C" w14:textId="0CBA6FFE" w:rsidR="007D17F2" w:rsidRPr="009C7B07" w:rsidRDefault="007D17F2" w:rsidP="00833F09">
            <w:pPr>
              <w:pStyle w:val="Zkladntextodsazen"/>
              <w:widowControl w:val="0"/>
              <w:ind w:firstLine="0"/>
              <w:jc w:val="left"/>
              <w:rPr>
                <w:sz w:val="22"/>
                <w:szCs w:val="22"/>
              </w:rPr>
            </w:pPr>
            <w:r w:rsidRPr="009C7B07">
              <w:rPr>
                <w:sz w:val="22"/>
                <w:szCs w:val="22"/>
              </w:rPr>
              <w:t xml:space="preserve">Domácí hemodialýza: </w:t>
            </w:r>
            <w:r w:rsidRPr="009C7B07">
              <w:rPr>
                <w:sz w:val="22"/>
                <w:szCs w:val="22"/>
              </w:rPr>
              <w:br/>
              <w:t>stdKt/V &gt; 2,1</w:t>
            </w:r>
          </w:p>
        </w:tc>
        <w:tc>
          <w:tcPr>
            <w:tcW w:w="2952" w:type="dxa"/>
            <w:vMerge/>
          </w:tcPr>
          <w:p w14:paraId="7BCACEC9" w14:textId="77777777" w:rsidR="007D17F2" w:rsidRPr="009C7B07" w:rsidRDefault="007D17F2" w:rsidP="00833F09">
            <w:pPr>
              <w:pStyle w:val="Zkladntextodsazen"/>
              <w:widowControl w:val="0"/>
              <w:ind w:firstLine="0"/>
              <w:jc w:val="center"/>
              <w:rPr>
                <w:sz w:val="22"/>
                <w:szCs w:val="22"/>
              </w:rPr>
            </w:pPr>
          </w:p>
        </w:tc>
        <w:tc>
          <w:tcPr>
            <w:tcW w:w="2392" w:type="dxa"/>
            <w:vMerge/>
          </w:tcPr>
          <w:p w14:paraId="60B8DEB1" w14:textId="77777777" w:rsidR="007D17F2" w:rsidRPr="009C7B07" w:rsidRDefault="007D17F2" w:rsidP="00833F09">
            <w:pPr>
              <w:pStyle w:val="Zkladntextodsazen"/>
              <w:widowControl w:val="0"/>
              <w:ind w:firstLine="0"/>
              <w:jc w:val="center"/>
              <w:rPr>
                <w:sz w:val="22"/>
                <w:szCs w:val="22"/>
              </w:rPr>
            </w:pPr>
          </w:p>
        </w:tc>
      </w:tr>
    </w:tbl>
    <w:p w14:paraId="6E04CF0D" w14:textId="411928BE" w:rsidR="00FB53B6" w:rsidRPr="009C7B07" w:rsidRDefault="00FB53B6" w:rsidP="0034053F">
      <w:pPr>
        <w:pStyle w:val="Textodstavce"/>
        <w:numPr>
          <w:ilvl w:val="1"/>
          <w:numId w:val="15"/>
        </w:numPr>
        <w:tabs>
          <w:tab w:val="clear" w:pos="851"/>
        </w:tabs>
        <w:ind w:left="851"/>
        <w:rPr>
          <w:szCs w:val="24"/>
        </w:rPr>
      </w:pPr>
      <w:r w:rsidRPr="009C7B07">
        <w:rPr>
          <w:szCs w:val="24"/>
        </w:rPr>
        <w:lastRenderedPageBreak/>
        <w:t xml:space="preserve">Hodnota bodu podle bodu 1 se </w:t>
      </w:r>
      <w:r w:rsidR="008B697F" w:rsidRPr="009C7B07">
        <w:rPr>
          <w:szCs w:val="24"/>
        </w:rPr>
        <w:t xml:space="preserve">dále </w:t>
      </w:r>
      <w:r w:rsidRPr="009C7B07">
        <w:rPr>
          <w:szCs w:val="24"/>
        </w:rPr>
        <w:t>navýší pracovišti poskytovatele o 0,02 Kč</w:t>
      </w:r>
      <w:r w:rsidR="001460A1" w:rsidRPr="009C7B07">
        <w:rPr>
          <w:szCs w:val="24"/>
        </w:rPr>
        <w:t xml:space="preserve"> v případě, že alespoň 7 % </w:t>
      </w:r>
      <w:r w:rsidRPr="009C7B07">
        <w:rPr>
          <w:szCs w:val="24"/>
        </w:rPr>
        <w:t xml:space="preserve">referovaných </w:t>
      </w:r>
      <w:r w:rsidR="001460A1" w:rsidRPr="009C7B07">
        <w:rPr>
          <w:szCs w:val="24"/>
        </w:rPr>
        <w:t xml:space="preserve">pojištěnců </w:t>
      </w:r>
      <w:r w:rsidR="00C404D0" w:rsidRPr="009C7B07">
        <w:rPr>
          <w:szCs w:val="24"/>
        </w:rPr>
        <w:t xml:space="preserve">ošetřených na tomto pracovišti </w:t>
      </w:r>
      <w:r w:rsidR="001460A1" w:rsidRPr="009C7B07">
        <w:rPr>
          <w:szCs w:val="24"/>
        </w:rPr>
        <w:t>je zařazeno na čekací listinu</w:t>
      </w:r>
      <w:r w:rsidRPr="009C7B07">
        <w:rPr>
          <w:szCs w:val="24"/>
        </w:rPr>
        <w:t xml:space="preserve"> k transplantaci ledviny</w:t>
      </w:r>
      <w:r w:rsidR="00931D5E" w:rsidRPr="009C7B07">
        <w:rPr>
          <w:szCs w:val="24"/>
        </w:rPr>
        <w:t xml:space="preserve"> nebo</w:t>
      </w:r>
      <w:r w:rsidR="001460A1" w:rsidRPr="009C7B07">
        <w:rPr>
          <w:szCs w:val="24"/>
        </w:rPr>
        <w:t xml:space="preserve"> již </w:t>
      </w:r>
      <w:r w:rsidR="00C404D0" w:rsidRPr="009C7B07">
        <w:rPr>
          <w:szCs w:val="24"/>
        </w:rPr>
        <w:t xml:space="preserve">bylo </w:t>
      </w:r>
      <w:r w:rsidR="001460A1" w:rsidRPr="009C7B07">
        <w:rPr>
          <w:szCs w:val="24"/>
        </w:rPr>
        <w:t>transplantováno</w:t>
      </w:r>
      <w:r w:rsidR="007D17F2" w:rsidRPr="009C7B07">
        <w:rPr>
          <w:szCs w:val="24"/>
        </w:rPr>
        <w:t xml:space="preserve">, nebo o 0,04 Kč v případě, že alespoň </w:t>
      </w:r>
      <w:r w:rsidR="009C7B07" w:rsidRPr="009C7B07">
        <w:rPr>
          <w:szCs w:val="24"/>
        </w:rPr>
        <w:t>15</w:t>
      </w:r>
      <w:r w:rsidR="007D17F2" w:rsidRPr="009C7B07">
        <w:rPr>
          <w:szCs w:val="24"/>
        </w:rPr>
        <w:t xml:space="preserve"> % referovaných pojištěnců ošetřených na tomto pracovišti je zařazeno na čekací listinu k transplantaci ledviny nebo již bylo transplantováno</w:t>
      </w:r>
      <w:r w:rsidR="001460A1" w:rsidRPr="009C7B07">
        <w:rPr>
          <w:szCs w:val="24"/>
        </w:rPr>
        <w:t xml:space="preserve">. </w:t>
      </w:r>
    </w:p>
    <w:p w14:paraId="6DD2ABD3" w14:textId="391D9BFC" w:rsidR="003224B4" w:rsidRPr="00CA7996" w:rsidRDefault="003224B4" w:rsidP="00EC105F">
      <w:pPr>
        <w:pStyle w:val="Textodstavce"/>
        <w:numPr>
          <w:ilvl w:val="0"/>
          <w:numId w:val="15"/>
        </w:numPr>
        <w:tabs>
          <w:tab w:val="clear" w:pos="851"/>
        </w:tabs>
        <w:spacing w:before="0"/>
        <w:ind w:left="426" w:hanging="426"/>
        <w:rPr>
          <w:szCs w:val="24"/>
        </w:rPr>
      </w:pPr>
      <w:r w:rsidRPr="00CA7996">
        <w:rPr>
          <w:szCs w:val="24"/>
        </w:rPr>
        <w:t>Vypočten</w:t>
      </w:r>
      <w:r w:rsidR="00C404D0" w:rsidRPr="00CA7996">
        <w:rPr>
          <w:szCs w:val="24"/>
        </w:rPr>
        <w:t>ou</w:t>
      </w:r>
      <w:r w:rsidRPr="00CA7996">
        <w:rPr>
          <w:szCs w:val="24"/>
        </w:rPr>
        <w:t xml:space="preserve"> částk</w:t>
      </w:r>
      <w:r w:rsidR="00C404D0" w:rsidRPr="00CA7996">
        <w:rPr>
          <w:szCs w:val="24"/>
        </w:rPr>
        <w:t>u</w:t>
      </w:r>
      <w:r w:rsidRPr="00CA7996">
        <w:rPr>
          <w:szCs w:val="24"/>
        </w:rPr>
        <w:t xml:space="preserve"> navýšení úhrady podle bodu </w:t>
      </w:r>
      <w:r w:rsidR="008B697F" w:rsidRPr="00CA7996">
        <w:rPr>
          <w:szCs w:val="24"/>
        </w:rPr>
        <w:t>2</w:t>
      </w:r>
      <w:r w:rsidRPr="00CA7996">
        <w:rPr>
          <w:szCs w:val="24"/>
        </w:rPr>
        <w:t xml:space="preserve"> </w:t>
      </w:r>
      <w:r w:rsidR="00C404D0" w:rsidRPr="00CA7996">
        <w:rPr>
          <w:szCs w:val="24"/>
        </w:rPr>
        <w:t>zdravotní pojišťovna p</w:t>
      </w:r>
      <w:r w:rsidRPr="00CA7996">
        <w:rPr>
          <w:szCs w:val="24"/>
        </w:rPr>
        <w:t>oskytovateli uhra</w:t>
      </w:r>
      <w:r w:rsidR="00C404D0" w:rsidRPr="00CA7996">
        <w:rPr>
          <w:szCs w:val="24"/>
        </w:rPr>
        <w:t>dí</w:t>
      </w:r>
      <w:r w:rsidRPr="00CA7996">
        <w:rPr>
          <w:szCs w:val="24"/>
        </w:rPr>
        <w:t xml:space="preserve"> nejpozději do 150 dnů po dni skončení hodnoceného období.</w:t>
      </w:r>
    </w:p>
    <w:p w14:paraId="3FF5F467" w14:textId="77777777" w:rsidR="006A1291" w:rsidRPr="00CA7996" w:rsidRDefault="006A1291" w:rsidP="006A1291">
      <w:pPr>
        <w:pStyle w:val="Textodstavce"/>
        <w:numPr>
          <w:ilvl w:val="0"/>
          <w:numId w:val="0"/>
        </w:numPr>
        <w:tabs>
          <w:tab w:val="clear" w:pos="851"/>
        </w:tabs>
        <w:spacing w:before="0"/>
        <w:ind w:left="426"/>
        <w:rPr>
          <w:szCs w:val="24"/>
        </w:rPr>
      </w:pPr>
    </w:p>
    <w:p w14:paraId="6F7603C9" w14:textId="77777777" w:rsidR="003224B4" w:rsidRPr="00CA7996" w:rsidRDefault="003224B4" w:rsidP="003224B4">
      <w:pPr>
        <w:pStyle w:val="Textodstavce"/>
        <w:numPr>
          <w:ilvl w:val="0"/>
          <w:numId w:val="14"/>
        </w:numPr>
        <w:tabs>
          <w:tab w:val="clear" w:pos="851"/>
        </w:tabs>
        <w:spacing w:before="0"/>
        <w:ind w:left="425" w:hanging="425"/>
        <w:rPr>
          <w:b/>
          <w:szCs w:val="24"/>
        </w:rPr>
      </w:pPr>
      <w:r w:rsidRPr="00CA7996">
        <w:rPr>
          <w:b/>
          <w:szCs w:val="24"/>
        </w:rPr>
        <w:t>Úhrada za včasné zařazování pojištěnců na čekací listinu k transplantaci ledviny</w:t>
      </w:r>
    </w:p>
    <w:p w14:paraId="1D7C2E5B" w14:textId="77777777" w:rsidR="003224B4" w:rsidRPr="00CA7996" w:rsidRDefault="003224B4" w:rsidP="003224B4">
      <w:pPr>
        <w:pStyle w:val="Textbodu"/>
        <w:numPr>
          <w:ilvl w:val="0"/>
          <w:numId w:val="20"/>
        </w:numPr>
        <w:spacing w:after="120"/>
        <w:ind w:left="426" w:hanging="426"/>
        <w:rPr>
          <w:szCs w:val="24"/>
        </w:rPr>
      </w:pPr>
      <w:r w:rsidRPr="00CA7996">
        <w:rPr>
          <w:szCs w:val="24"/>
        </w:rPr>
        <w:t xml:space="preserve">Pro níže uvedené hrazené služby se stanovuje úhrada ve výši: </w:t>
      </w:r>
    </w:p>
    <w:p w14:paraId="400B281C" w14:textId="77777777" w:rsidR="003224B4" w:rsidRPr="00CA7996" w:rsidRDefault="00F62C8B" w:rsidP="003224B4">
      <w:pPr>
        <w:pStyle w:val="Textbodu"/>
        <w:numPr>
          <w:ilvl w:val="0"/>
          <w:numId w:val="22"/>
        </w:numPr>
        <w:ind w:left="850" w:hanging="357"/>
        <w:rPr>
          <w:szCs w:val="24"/>
        </w:rPr>
      </w:pPr>
      <w:r w:rsidRPr="00CA7996">
        <w:rPr>
          <w:szCs w:val="24"/>
        </w:rPr>
        <w:t xml:space="preserve">Výkon č. 76661 - </w:t>
      </w:r>
      <w:r w:rsidR="003224B4" w:rsidRPr="00CA7996">
        <w:rPr>
          <w:szCs w:val="24"/>
        </w:rPr>
        <w:t xml:space="preserve">Oznámení o začátku vyšetřování vhodnosti pojištěnce k transplantaci ledviny u pojištěnce již zařazeného do dialyzačního programu </w:t>
      </w:r>
      <w:r w:rsidR="009355E6" w:rsidRPr="00CA7996">
        <w:rPr>
          <w:szCs w:val="24"/>
        </w:rPr>
        <w:br/>
      </w:r>
      <w:r w:rsidR="003224B4" w:rsidRPr="00CA7996">
        <w:rPr>
          <w:szCs w:val="24"/>
        </w:rPr>
        <w:t>3 000 Kč.</w:t>
      </w:r>
    </w:p>
    <w:p w14:paraId="070E85DA" w14:textId="77777777" w:rsidR="003224B4" w:rsidRPr="00CA7996" w:rsidRDefault="003224B4" w:rsidP="003224B4">
      <w:pPr>
        <w:pStyle w:val="Textbodu"/>
        <w:numPr>
          <w:ilvl w:val="1"/>
          <w:numId w:val="22"/>
        </w:numPr>
        <w:spacing w:after="120"/>
        <w:ind w:left="1276"/>
        <w:rPr>
          <w:szCs w:val="24"/>
        </w:rPr>
      </w:pPr>
      <w:r w:rsidRPr="00CA7996">
        <w:rPr>
          <w:szCs w:val="24"/>
        </w:rPr>
        <w:t>Popis: Signalizace zahájení vyšetřování pojištěnce s chronickým renálním selháním (stadium 5) bez klíčových kontraindikací k transplantaci ledvin.</w:t>
      </w:r>
    </w:p>
    <w:p w14:paraId="5331C134" w14:textId="77777777" w:rsidR="003224B4" w:rsidRPr="00CA7996" w:rsidRDefault="003224B4" w:rsidP="003224B4">
      <w:pPr>
        <w:pStyle w:val="Textbodu"/>
        <w:numPr>
          <w:ilvl w:val="1"/>
          <w:numId w:val="22"/>
        </w:numPr>
        <w:spacing w:after="120"/>
        <w:ind w:left="1276"/>
        <w:rPr>
          <w:szCs w:val="24"/>
        </w:rPr>
      </w:pPr>
      <w:r w:rsidRPr="00CA7996">
        <w:rPr>
          <w:szCs w:val="24"/>
        </w:rPr>
        <w:t>Podmínky úhrady: Vykazuje se na jednoho pojištěnce jedenkrát.</w:t>
      </w:r>
    </w:p>
    <w:p w14:paraId="36CDCCE5" w14:textId="77777777" w:rsidR="003224B4" w:rsidRPr="00CA7996" w:rsidRDefault="00F62C8B" w:rsidP="003224B4">
      <w:pPr>
        <w:pStyle w:val="Textbodu"/>
        <w:numPr>
          <w:ilvl w:val="0"/>
          <w:numId w:val="22"/>
        </w:numPr>
        <w:ind w:left="850" w:hanging="357"/>
        <w:rPr>
          <w:szCs w:val="24"/>
        </w:rPr>
      </w:pPr>
      <w:r w:rsidRPr="00CA7996">
        <w:rPr>
          <w:szCs w:val="24"/>
        </w:rPr>
        <w:t xml:space="preserve">Výkon č. 76662 - </w:t>
      </w:r>
      <w:r w:rsidR="003224B4" w:rsidRPr="00CA7996">
        <w:rPr>
          <w:szCs w:val="24"/>
        </w:rPr>
        <w:t>Oznámení o začátku vyšetřování vhodnosti pojištěnce k transplantaci ledviny u pojištěnce v predialyzačním stádiu 4 500 Kč.</w:t>
      </w:r>
    </w:p>
    <w:p w14:paraId="103A4157" w14:textId="77777777" w:rsidR="003224B4" w:rsidRPr="00CA7996" w:rsidRDefault="003224B4" w:rsidP="003224B4">
      <w:pPr>
        <w:pStyle w:val="Textbodu"/>
        <w:numPr>
          <w:ilvl w:val="1"/>
          <w:numId w:val="22"/>
        </w:numPr>
        <w:spacing w:after="120"/>
        <w:ind w:left="1276"/>
        <w:rPr>
          <w:szCs w:val="24"/>
        </w:rPr>
      </w:pPr>
      <w:r w:rsidRPr="00CA7996">
        <w:rPr>
          <w:szCs w:val="24"/>
        </w:rPr>
        <w:t>Popis: Signalizace zahájení vyšetřování pojištěnce s chr</w:t>
      </w:r>
      <w:r w:rsidR="008342E1" w:rsidRPr="00CA7996">
        <w:rPr>
          <w:szCs w:val="24"/>
        </w:rPr>
        <w:t>o</w:t>
      </w:r>
      <w:r w:rsidRPr="00CA7996">
        <w:rPr>
          <w:szCs w:val="24"/>
        </w:rPr>
        <w:t>nickým renálním selháním, u kterého opakovaně hodnota glomerulární filtrace (GFR) dosáhne hodnoty menší než 0,</w:t>
      </w:r>
      <w:r w:rsidR="00006027" w:rsidRPr="00CA7996">
        <w:rPr>
          <w:szCs w:val="24"/>
        </w:rPr>
        <w:t>20</w:t>
      </w:r>
      <w:r w:rsidRPr="00CA7996">
        <w:rPr>
          <w:szCs w:val="24"/>
        </w:rPr>
        <w:t xml:space="preserve"> ml/s.</w:t>
      </w:r>
    </w:p>
    <w:p w14:paraId="25E95969" w14:textId="77777777" w:rsidR="003224B4" w:rsidRPr="00CA7996" w:rsidRDefault="003224B4" w:rsidP="003224B4">
      <w:pPr>
        <w:pStyle w:val="Textbodu"/>
        <w:numPr>
          <w:ilvl w:val="1"/>
          <w:numId w:val="22"/>
        </w:numPr>
        <w:spacing w:after="120"/>
        <w:ind w:left="1276"/>
        <w:rPr>
          <w:szCs w:val="24"/>
        </w:rPr>
      </w:pPr>
      <w:r w:rsidRPr="00CA7996">
        <w:rPr>
          <w:szCs w:val="24"/>
        </w:rPr>
        <w:t>Podmínky úhrady: U pojištěnce nebyl v době před začátkem vyšetřování vhodnosti k transplantaci ledviny vykázán žádný z výkonů dialyzační péče podle seznamu výkonů. Vykazuje se na jednoho pojištěnce příslušné zdravotní pojišťovny jedenkrát.</w:t>
      </w:r>
    </w:p>
    <w:p w14:paraId="0417CA78" w14:textId="77777777" w:rsidR="003224B4" w:rsidRPr="00CA7996" w:rsidRDefault="00F62C8B" w:rsidP="003224B4">
      <w:pPr>
        <w:pStyle w:val="Textbodu"/>
        <w:numPr>
          <w:ilvl w:val="0"/>
          <w:numId w:val="22"/>
        </w:numPr>
        <w:ind w:left="850" w:hanging="357"/>
        <w:rPr>
          <w:szCs w:val="24"/>
        </w:rPr>
      </w:pPr>
      <w:r w:rsidRPr="00CA7996">
        <w:rPr>
          <w:szCs w:val="24"/>
        </w:rPr>
        <w:t xml:space="preserve">Výkon č. 76663 - </w:t>
      </w:r>
      <w:r w:rsidR="003224B4" w:rsidRPr="00CA7996">
        <w:rPr>
          <w:szCs w:val="24"/>
        </w:rPr>
        <w:t>Oznámení o ukončení vyšetřování vhodnosti pojištěnce k transplantaci ledviny u pojištěnce již zařazeného do dialyzačního programu</w:t>
      </w:r>
      <w:r w:rsidR="009355E6" w:rsidRPr="00CA7996">
        <w:rPr>
          <w:szCs w:val="24"/>
        </w:rPr>
        <w:br/>
      </w:r>
      <w:r w:rsidR="003224B4" w:rsidRPr="00CA7996">
        <w:rPr>
          <w:szCs w:val="24"/>
        </w:rPr>
        <w:t>7 000 Kč.</w:t>
      </w:r>
    </w:p>
    <w:p w14:paraId="1FBF0F59" w14:textId="77777777" w:rsidR="003224B4" w:rsidRPr="00CA7996" w:rsidRDefault="003224B4" w:rsidP="003224B4">
      <w:pPr>
        <w:pStyle w:val="Textbodu"/>
        <w:numPr>
          <w:ilvl w:val="1"/>
          <w:numId w:val="22"/>
        </w:numPr>
        <w:spacing w:after="120"/>
        <w:ind w:left="1276"/>
        <w:rPr>
          <w:szCs w:val="24"/>
        </w:rPr>
      </w:pPr>
      <w:r w:rsidRPr="00CA7996">
        <w:rPr>
          <w:szCs w:val="24"/>
        </w:rPr>
        <w:t>Popis: Signalizace ukončení vyšetřování vhodnosti pojištěnce, který byl již zařazen do dialyzačního programu. Je vykazováno poskytovatelem, který indikoval pojištěnce k vyšetření, poté, co obdržel vyjádření centra vysoce specializované péče v oblasti transplantologie k zařazení nebo nezařazení pojištěnce na čekací listinu.</w:t>
      </w:r>
    </w:p>
    <w:p w14:paraId="7FBC942F" w14:textId="77777777" w:rsidR="003224B4" w:rsidRPr="00CA7996" w:rsidRDefault="003224B4" w:rsidP="003224B4">
      <w:pPr>
        <w:pStyle w:val="Textbodu"/>
        <w:numPr>
          <w:ilvl w:val="1"/>
          <w:numId w:val="22"/>
        </w:numPr>
        <w:spacing w:after="120"/>
        <w:ind w:left="1276"/>
        <w:rPr>
          <w:szCs w:val="24"/>
        </w:rPr>
      </w:pPr>
      <w:r w:rsidRPr="00CA7996">
        <w:rPr>
          <w:szCs w:val="24"/>
        </w:rPr>
        <w:t>Podmínky úhrady: U pojištěnce byla vykázána hrazená zdravotní služba podle části B bodu 1 písm. a). Transplantační centrum u pojištěnce vykázalo výkon č. 51902 podle seznamu výkonů a zároveň bylo signalizováno odeslání žádosti k zařazení pojištěnce na čekací listinu, nebo skutečnost, že zařazení pojištěnce na čekací listinu není nedoporučeno.</w:t>
      </w:r>
    </w:p>
    <w:p w14:paraId="008DBA87" w14:textId="77777777" w:rsidR="003224B4" w:rsidRPr="00CA7996" w:rsidRDefault="00F62C8B" w:rsidP="003224B4">
      <w:pPr>
        <w:pStyle w:val="Textbodu"/>
        <w:numPr>
          <w:ilvl w:val="0"/>
          <w:numId w:val="22"/>
        </w:numPr>
        <w:ind w:left="850" w:hanging="357"/>
        <w:rPr>
          <w:szCs w:val="24"/>
        </w:rPr>
      </w:pPr>
      <w:r w:rsidRPr="00CA7996">
        <w:rPr>
          <w:szCs w:val="24"/>
        </w:rPr>
        <w:t xml:space="preserve">Výkon č. 76664 - </w:t>
      </w:r>
      <w:r w:rsidR="003224B4" w:rsidRPr="00CA7996">
        <w:rPr>
          <w:szCs w:val="24"/>
        </w:rPr>
        <w:t>Oznámení o ukončení vyšetřování vhodnosti pojištěnce k transplantaci ledviny u pojištěnce v predialyzačním stádiu 10 500 Kč.</w:t>
      </w:r>
    </w:p>
    <w:p w14:paraId="58396C70" w14:textId="77777777" w:rsidR="003224B4" w:rsidRPr="00CA7996" w:rsidRDefault="003224B4" w:rsidP="003224B4">
      <w:pPr>
        <w:pStyle w:val="Textbodu"/>
        <w:numPr>
          <w:ilvl w:val="1"/>
          <w:numId w:val="22"/>
        </w:numPr>
        <w:spacing w:after="120"/>
        <w:ind w:left="1276"/>
        <w:rPr>
          <w:szCs w:val="24"/>
        </w:rPr>
      </w:pPr>
      <w:r w:rsidRPr="00CA7996">
        <w:rPr>
          <w:szCs w:val="24"/>
        </w:rPr>
        <w:t>Popis: Signalizace ukončení vyšetřování vhodnosti pojištěnce, který je u poskytovatele v predialyzační péči. Je vykazováno poskytovatelem, který indikoval pojištěnce k vyšetření, poté, co obdržel vyjádření transplantačního centra k zařazení nebo nezařazení pojištěnce na čekací listinu.</w:t>
      </w:r>
    </w:p>
    <w:p w14:paraId="2E01E2A6" w14:textId="77777777" w:rsidR="003224B4" w:rsidRPr="00CA7996" w:rsidRDefault="003224B4" w:rsidP="003224B4">
      <w:pPr>
        <w:pStyle w:val="Textbodu"/>
        <w:numPr>
          <w:ilvl w:val="1"/>
          <w:numId w:val="22"/>
        </w:numPr>
        <w:spacing w:after="120"/>
        <w:ind w:left="1276"/>
        <w:rPr>
          <w:szCs w:val="24"/>
        </w:rPr>
      </w:pPr>
      <w:r w:rsidRPr="00CA7996">
        <w:rPr>
          <w:szCs w:val="24"/>
        </w:rPr>
        <w:lastRenderedPageBreak/>
        <w:t>Podmínky úhrady: U pojištěnce byla vykázána hrazená zdravotní služba podle části B bodu 1 písm. b). Transplantační centrum u pojištěnce vykázalo výkon č. 51902 podle seznamu výkonů a zároveň bylo signalizováno odeslání žádosti k zařazení pojištěnce na čekací listinu, nebo skutečnost, že zařazení pojištěnce na čekací listinu není nedoporučeno.</w:t>
      </w:r>
    </w:p>
    <w:p w14:paraId="1960D712" w14:textId="77777777" w:rsidR="003224B4" w:rsidRPr="00CA7996" w:rsidRDefault="00F62C8B" w:rsidP="003224B4">
      <w:pPr>
        <w:pStyle w:val="Textbodu"/>
        <w:numPr>
          <w:ilvl w:val="0"/>
          <w:numId w:val="22"/>
        </w:numPr>
        <w:ind w:left="850" w:hanging="357"/>
        <w:rPr>
          <w:szCs w:val="24"/>
        </w:rPr>
      </w:pPr>
      <w:r w:rsidRPr="00CA7996">
        <w:rPr>
          <w:szCs w:val="24"/>
        </w:rPr>
        <w:t xml:space="preserve">Výkon č. 76667 - </w:t>
      </w:r>
      <w:r w:rsidR="003224B4" w:rsidRPr="00CA7996">
        <w:rPr>
          <w:szCs w:val="24"/>
        </w:rPr>
        <w:t>Vyšetření žijícího dárce ledviny 20 000 Kč.</w:t>
      </w:r>
    </w:p>
    <w:p w14:paraId="33277C12" w14:textId="77777777" w:rsidR="003224B4" w:rsidRPr="00CA7996" w:rsidRDefault="003224B4" w:rsidP="003224B4">
      <w:pPr>
        <w:pStyle w:val="Textbodu"/>
        <w:numPr>
          <w:ilvl w:val="2"/>
          <w:numId w:val="22"/>
        </w:numPr>
        <w:spacing w:after="120"/>
        <w:ind w:left="1276" w:hanging="425"/>
        <w:rPr>
          <w:szCs w:val="24"/>
        </w:rPr>
      </w:pPr>
      <w:r w:rsidRPr="00CA7996">
        <w:rPr>
          <w:szCs w:val="24"/>
        </w:rPr>
        <w:t>Popis: Vykazuje se při zahájení vyšetření žijícího dárce ledviny. Tato hrazená služba se vykazuje na číslo pojištěnce příslušné zdravotní pojišťovny, který je příjemcem orgánu.</w:t>
      </w:r>
    </w:p>
    <w:p w14:paraId="0CCF90AA" w14:textId="77777777" w:rsidR="003224B4" w:rsidRPr="00CA7996" w:rsidRDefault="003224B4" w:rsidP="003224B4">
      <w:pPr>
        <w:pStyle w:val="Textbodu"/>
        <w:numPr>
          <w:ilvl w:val="2"/>
          <w:numId w:val="22"/>
        </w:numPr>
        <w:spacing w:after="120"/>
        <w:ind w:left="1276" w:hanging="425"/>
        <w:rPr>
          <w:szCs w:val="24"/>
        </w:rPr>
      </w:pPr>
      <w:r w:rsidRPr="00CA7996">
        <w:rPr>
          <w:szCs w:val="24"/>
        </w:rPr>
        <w:t>Podmínka úhrady: Vykazuje poskytovatel v případě, že indikuje vhodného dárce ledviny.</w:t>
      </w:r>
    </w:p>
    <w:p w14:paraId="11ED803C" w14:textId="77777777" w:rsidR="003224B4" w:rsidRPr="00CA7996" w:rsidRDefault="003224B4" w:rsidP="003224B4">
      <w:pPr>
        <w:pStyle w:val="Textbodu"/>
        <w:numPr>
          <w:ilvl w:val="0"/>
          <w:numId w:val="20"/>
        </w:numPr>
        <w:ind w:left="425" w:hanging="425"/>
        <w:rPr>
          <w:szCs w:val="24"/>
        </w:rPr>
      </w:pPr>
      <w:r w:rsidRPr="00CA7996">
        <w:rPr>
          <w:szCs w:val="24"/>
        </w:rPr>
        <w:t>Pravidla pro vykazování a úhradu hrazených služeb uvedených v bodě 1:</w:t>
      </w:r>
    </w:p>
    <w:p w14:paraId="5F5D334B" w14:textId="77777777" w:rsidR="003224B4" w:rsidRPr="00CA7996" w:rsidRDefault="003224B4" w:rsidP="003224B4">
      <w:pPr>
        <w:pStyle w:val="Textodstavce"/>
        <w:numPr>
          <w:ilvl w:val="0"/>
          <w:numId w:val="21"/>
        </w:numPr>
        <w:tabs>
          <w:tab w:val="clear" w:pos="851"/>
        </w:tabs>
        <w:spacing w:before="0"/>
        <w:ind w:left="851" w:hanging="425"/>
        <w:rPr>
          <w:szCs w:val="24"/>
        </w:rPr>
      </w:pPr>
      <w:r w:rsidRPr="00CA7996">
        <w:rPr>
          <w:szCs w:val="24"/>
        </w:rPr>
        <w:t>Minimálním rozsahem péče při vyšetřování vhodnosti pojištěnce k transplantaci ledviny se rozumí soubor vyšetření provedený v souladu s doporučeným postupem České transplantační společnosti a v závislosti na aktuálním klinickém stavu konkrétního pojištěnce.</w:t>
      </w:r>
    </w:p>
    <w:p w14:paraId="460815E2" w14:textId="77777777" w:rsidR="003224B4" w:rsidRPr="00CA7996" w:rsidRDefault="003224B4" w:rsidP="003224B4">
      <w:pPr>
        <w:pStyle w:val="Textodstavce"/>
        <w:numPr>
          <w:ilvl w:val="0"/>
          <w:numId w:val="21"/>
        </w:numPr>
        <w:tabs>
          <w:tab w:val="clear" w:pos="851"/>
        </w:tabs>
        <w:spacing w:before="0" w:after="0"/>
        <w:ind w:left="850" w:hanging="425"/>
        <w:rPr>
          <w:b/>
          <w:szCs w:val="24"/>
        </w:rPr>
      </w:pPr>
      <w:r w:rsidRPr="00CA7996">
        <w:rPr>
          <w:szCs w:val="24"/>
        </w:rPr>
        <w:t>Hrazené služby uvedené v bodě 1 nelze vykázat u pojištěnců, kteří mají zdravotní kontraindikaci k transplantaci ledvin.</w:t>
      </w:r>
    </w:p>
    <w:p w14:paraId="3F3C5771" w14:textId="77777777" w:rsidR="003224B4" w:rsidRPr="00CA7996" w:rsidRDefault="003224B4" w:rsidP="003224B4">
      <w:pPr>
        <w:pStyle w:val="Textodstavce"/>
        <w:numPr>
          <w:ilvl w:val="0"/>
          <w:numId w:val="0"/>
        </w:numPr>
        <w:tabs>
          <w:tab w:val="clear" w:pos="851"/>
        </w:tabs>
        <w:spacing w:before="0" w:after="0"/>
        <w:ind w:firstLine="425"/>
        <w:rPr>
          <w:b/>
          <w:szCs w:val="24"/>
        </w:rPr>
      </w:pPr>
    </w:p>
    <w:p w14:paraId="08F369D0" w14:textId="77777777" w:rsidR="003224B4" w:rsidRPr="00CA7996" w:rsidRDefault="003224B4" w:rsidP="003224B4">
      <w:pPr>
        <w:pStyle w:val="Textodstavce"/>
        <w:numPr>
          <w:ilvl w:val="0"/>
          <w:numId w:val="14"/>
        </w:numPr>
        <w:tabs>
          <w:tab w:val="clear" w:pos="851"/>
        </w:tabs>
        <w:spacing w:before="0"/>
        <w:ind w:left="425" w:hanging="425"/>
        <w:rPr>
          <w:b/>
          <w:szCs w:val="24"/>
        </w:rPr>
      </w:pPr>
      <w:r w:rsidRPr="00CA7996">
        <w:rPr>
          <w:b/>
          <w:szCs w:val="24"/>
        </w:rPr>
        <w:t xml:space="preserve">Regulační omezení </w:t>
      </w:r>
    </w:p>
    <w:p w14:paraId="7D2F0948" w14:textId="2373E50C" w:rsidR="003224B4" w:rsidRPr="00CA7996" w:rsidRDefault="003224B4" w:rsidP="003224B4">
      <w:pPr>
        <w:pStyle w:val="Odstavecseseznamem"/>
        <w:numPr>
          <w:ilvl w:val="0"/>
          <w:numId w:val="16"/>
        </w:numPr>
        <w:tabs>
          <w:tab w:val="clear" w:pos="720"/>
        </w:tabs>
        <w:spacing w:after="0" w:line="240" w:lineRule="auto"/>
        <w:ind w:left="426" w:hanging="426"/>
        <w:contextualSpacing w:val="0"/>
        <w:jc w:val="both"/>
        <w:rPr>
          <w:rFonts w:ascii="Times New Roman" w:hAnsi="Times New Roman" w:cs="Times New Roman"/>
          <w:sz w:val="24"/>
          <w:szCs w:val="24"/>
        </w:rPr>
      </w:pPr>
      <w:r w:rsidRPr="00CA7996">
        <w:rPr>
          <w:rFonts w:ascii="Times New Roman" w:hAnsi="Times New Roman" w:cs="Times New Roman"/>
          <w:sz w:val="24"/>
          <w:szCs w:val="24"/>
        </w:rPr>
        <w:t xml:space="preserve">Regulační omezení uvedená v bodech 2 až 4 zdravotní pojišťovna uplatní pouze v případě, že sdělila poskytovateli do 30. dubna </w:t>
      </w:r>
      <w:r w:rsidR="00284873" w:rsidRPr="00CA7996">
        <w:rPr>
          <w:rFonts w:ascii="Times New Roman" w:hAnsi="Times New Roman" w:cs="Times New Roman"/>
          <w:sz w:val="24"/>
          <w:szCs w:val="24"/>
        </w:rPr>
        <w:t>hodnoceného období</w:t>
      </w:r>
      <w:r w:rsidRPr="00CA7996">
        <w:rPr>
          <w:rFonts w:ascii="Times New Roman" w:hAnsi="Times New Roman" w:cs="Times New Roman"/>
          <w:sz w:val="24"/>
          <w:szCs w:val="24"/>
        </w:rPr>
        <w:t xml:space="preserve"> tyto hodnoty referenčního období, které vstupují do výpočtu regulačních omezení v hodnoceném období:</w:t>
      </w:r>
    </w:p>
    <w:p w14:paraId="1083FC41" w14:textId="77777777" w:rsidR="003224B4" w:rsidRPr="00CA7996" w:rsidRDefault="003224B4" w:rsidP="003224B4">
      <w:pPr>
        <w:pStyle w:val="Odstavecseseznamem"/>
        <w:numPr>
          <w:ilvl w:val="0"/>
          <w:numId w:val="17"/>
        </w:numPr>
        <w:spacing w:after="0" w:line="240" w:lineRule="auto"/>
        <w:ind w:left="993" w:hanging="567"/>
        <w:contextualSpacing w:val="0"/>
        <w:jc w:val="both"/>
        <w:rPr>
          <w:rFonts w:ascii="Times New Roman" w:hAnsi="Times New Roman" w:cs="Times New Roman"/>
          <w:sz w:val="24"/>
          <w:szCs w:val="24"/>
        </w:rPr>
      </w:pPr>
      <w:r w:rsidRPr="00CA7996">
        <w:rPr>
          <w:rFonts w:ascii="Times New Roman" w:hAnsi="Times New Roman" w:cs="Times New Roman"/>
          <w:sz w:val="24"/>
          <w:szCs w:val="24"/>
        </w:rPr>
        <w:t>průměrná úhrada na jednoho unikátního pojištěnce za zvlášť účtované léčivé přípravky, s výjimkou úhrady zvlášť účtovaných léčivých přípravků označených symbolem „S“ podle § 39 odst. 1 vyhlášky č. 376/2011 Sb., a úhrady za zvlášť účtovaný materiál v referenčním období;</w:t>
      </w:r>
    </w:p>
    <w:p w14:paraId="32710F13" w14:textId="77777777" w:rsidR="003224B4" w:rsidRPr="00CA7996" w:rsidRDefault="003224B4" w:rsidP="003224B4">
      <w:pPr>
        <w:pStyle w:val="Odstavecseseznamem"/>
        <w:numPr>
          <w:ilvl w:val="0"/>
          <w:numId w:val="17"/>
        </w:numPr>
        <w:spacing w:after="0" w:line="240" w:lineRule="auto"/>
        <w:ind w:left="993" w:hanging="567"/>
        <w:contextualSpacing w:val="0"/>
        <w:jc w:val="both"/>
        <w:rPr>
          <w:rFonts w:ascii="Times New Roman" w:hAnsi="Times New Roman" w:cs="Times New Roman"/>
          <w:sz w:val="24"/>
          <w:szCs w:val="24"/>
        </w:rPr>
      </w:pPr>
      <w:r w:rsidRPr="00CA7996">
        <w:rPr>
          <w:rFonts w:ascii="Times New Roman" w:hAnsi="Times New Roman" w:cs="Times New Roman"/>
          <w:sz w:val="24"/>
          <w:szCs w:val="24"/>
        </w:rPr>
        <w:t>průměrná úhrada na jednoho unikátního pojištěnce za předepsané léčivé přípravky a zdravotnické prostředky v referenčním období;</w:t>
      </w:r>
    </w:p>
    <w:p w14:paraId="365C0DFD" w14:textId="77777777" w:rsidR="003224B4" w:rsidRPr="00CA7996" w:rsidRDefault="003224B4" w:rsidP="003224B4">
      <w:pPr>
        <w:pStyle w:val="Odstavecseseznamem"/>
        <w:numPr>
          <w:ilvl w:val="0"/>
          <w:numId w:val="17"/>
        </w:numPr>
        <w:spacing w:after="120" w:line="240" w:lineRule="auto"/>
        <w:ind w:left="992" w:hanging="567"/>
        <w:contextualSpacing w:val="0"/>
        <w:jc w:val="both"/>
        <w:rPr>
          <w:rFonts w:ascii="Times New Roman" w:hAnsi="Times New Roman" w:cs="Times New Roman"/>
          <w:sz w:val="24"/>
          <w:szCs w:val="24"/>
        </w:rPr>
      </w:pPr>
      <w:r w:rsidRPr="00CA7996">
        <w:rPr>
          <w:rFonts w:ascii="Times New Roman" w:hAnsi="Times New Roman" w:cs="Times New Roman"/>
          <w:sz w:val="24"/>
          <w:szCs w:val="24"/>
        </w:rPr>
        <w:t xml:space="preserve"> průměrná úhrada na jednoho unikátního pojištěnce za vyžádanou péči ve vyjmenovaných odbornostech v referenčním období.</w:t>
      </w:r>
    </w:p>
    <w:p w14:paraId="049184B2" w14:textId="479FF63D" w:rsidR="003224B4" w:rsidRPr="00CA7996" w:rsidRDefault="003224B4" w:rsidP="003224B4">
      <w:pPr>
        <w:pStyle w:val="Textodstavce"/>
        <w:numPr>
          <w:ilvl w:val="0"/>
          <w:numId w:val="18"/>
        </w:numPr>
        <w:tabs>
          <w:tab w:val="clear" w:pos="720"/>
          <w:tab w:val="clear" w:pos="851"/>
        </w:tabs>
        <w:spacing w:before="0"/>
        <w:ind w:left="425" w:hanging="425"/>
        <w:rPr>
          <w:bCs/>
          <w:szCs w:val="24"/>
        </w:rPr>
      </w:pPr>
      <w:r w:rsidRPr="00CA7996">
        <w:rPr>
          <w:szCs w:val="24"/>
        </w:rPr>
        <w:t>Pokud poskytovatel hrazených služeb poskytující dialyzační péči</w:t>
      </w:r>
      <w:r w:rsidR="004652C7" w:rsidRPr="00CA7996">
        <w:rPr>
          <w:szCs w:val="24"/>
        </w:rPr>
        <w:t xml:space="preserve"> </w:t>
      </w:r>
      <w:r w:rsidRPr="00CA7996">
        <w:rPr>
          <w:szCs w:val="24"/>
        </w:rPr>
        <w:t>dosáhne průměrné úhrady na jednoho unikátního pojištěnce za zvlášť účtované léčivé přípravky, s výjimkou úhrady zvlášť účtovaných léčivých přípravků označených symbolem „S“ podle § 39 odst. 1 vyhlášky č. 376/2011 Sb. a úhrady za zvlášť účtovaný materiál v hodnoceném období vyšší než 1</w:t>
      </w:r>
      <w:r w:rsidR="00FF5F03" w:rsidRPr="00CA7996">
        <w:rPr>
          <w:szCs w:val="24"/>
        </w:rPr>
        <w:t>1</w:t>
      </w:r>
      <w:r w:rsidR="007B7EFF" w:rsidRPr="00CA7996">
        <w:rPr>
          <w:szCs w:val="24"/>
        </w:rPr>
        <w:t>5</w:t>
      </w:r>
      <w:r w:rsidRPr="00CA7996">
        <w:rPr>
          <w:szCs w:val="24"/>
        </w:rPr>
        <w:t> % průměrné úhrady na jednoho unikátního pojištěnce za zvlášť účtované léčivé přípravky, s výjimkou úhrady zvlášť účtovaných léčivých přípravků označených symbolem „S“ podle § 39 odst. 1 vyhlášky č. 376/2011 Sb. a úhrady za zvlášť účtovaný materiál vykázaný v referenčním období, zdravotní pojišťovna sníží poskytovateli celkovou úhradu o částku odpovídající součinu 2,5 % z překročení uvedené průměrné úhrady a počtu unikátních pojištěnců v hodnoceném období za každé započaté 0,5 % překročení uvedené průměrné úhrady, nejvýše však 40 % z překročení.</w:t>
      </w:r>
      <w:r w:rsidRPr="00CA7996">
        <w:rPr>
          <w:b/>
          <w:bCs/>
          <w:szCs w:val="24"/>
        </w:rPr>
        <w:t xml:space="preserve"> </w:t>
      </w:r>
      <w:r w:rsidRPr="00CA7996">
        <w:rPr>
          <w:bCs/>
          <w:szCs w:val="24"/>
        </w:rPr>
        <w:t xml:space="preserve">Průměrná úhrada na jednoho unikátního pojištěnce v hodnoceném období a počet unikátních pojištěnců v hodnoceném období se vypočte z celkového počtu unikátních pojištěnců, do kterého se nezahrnou unikátní pojištěnci, na které byl vykázán pouze výkon č. 09513 </w:t>
      </w:r>
      <w:r w:rsidRPr="00CA7996">
        <w:rPr>
          <w:rStyle w:val="Odkaznakoment"/>
          <w:sz w:val="24"/>
          <w:szCs w:val="24"/>
        </w:rPr>
        <w:t>p</w:t>
      </w:r>
      <w:r w:rsidRPr="00CA7996">
        <w:rPr>
          <w:szCs w:val="24"/>
        </w:rPr>
        <w:t>odle seznamu výkonů</w:t>
      </w:r>
      <w:r w:rsidRPr="00CA7996">
        <w:rPr>
          <w:bCs/>
          <w:szCs w:val="24"/>
        </w:rPr>
        <w:t>.</w:t>
      </w:r>
    </w:p>
    <w:p w14:paraId="5D9C55B6" w14:textId="32439912" w:rsidR="003224B4" w:rsidRPr="00CA7996" w:rsidRDefault="003224B4" w:rsidP="003224B4">
      <w:pPr>
        <w:pStyle w:val="Textodstavce"/>
        <w:numPr>
          <w:ilvl w:val="0"/>
          <w:numId w:val="18"/>
        </w:numPr>
        <w:tabs>
          <w:tab w:val="clear" w:pos="720"/>
          <w:tab w:val="left" w:pos="0"/>
          <w:tab w:val="num" w:pos="426"/>
        </w:tabs>
        <w:spacing w:before="0"/>
        <w:ind w:left="425" w:hanging="425"/>
        <w:rPr>
          <w:szCs w:val="24"/>
        </w:rPr>
      </w:pPr>
      <w:r w:rsidRPr="00CA7996">
        <w:rPr>
          <w:szCs w:val="24"/>
        </w:rPr>
        <w:lastRenderedPageBreak/>
        <w:t>Pokud poskytovatel dosáhne průměrné úhrady na jednoho unikátního pojištěnce za předepsané léčivé přípravky a zdravotnické prostředky v hodnoceném období vyšší než 1</w:t>
      </w:r>
      <w:r w:rsidR="00FF5F03" w:rsidRPr="00CA7996">
        <w:rPr>
          <w:szCs w:val="24"/>
        </w:rPr>
        <w:t>1</w:t>
      </w:r>
      <w:r w:rsidR="00580F3A" w:rsidRPr="00CA7996">
        <w:rPr>
          <w:szCs w:val="24"/>
        </w:rPr>
        <w:t>0</w:t>
      </w:r>
      <w:r w:rsidRPr="00CA7996">
        <w:rPr>
          <w:szCs w:val="24"/>
        </w:rPr>
        <w:t xml:space="preserve"> % průměrné úhrady na jednoho unikátního pojištěnce za předepsané léčivé přípravky a zdravotnické prostředky v referenčním období, zdravotní pojišťovna sníží poskytovateli celkovou úhradu o částku odpovídající součinu 2,5 % z překročení uvedené průměrné úhrady a počtu unikátních pojištěnců v hodnoceném období za každé započaté 0,5 % překročení uvedené průměrné úhrady, nejvýše však 40 % z překročení. </w:t>
      </w:r>
      <w:r w:rsidRPr="00CA7996">
        <w:rPr>
          <w:bCs/>
          <w:szCs w:val="24"/>
        </w:rPr>
        <w:t xml:space="preserve">Průměrná úhrada na jednoho unikátního pojištěnce v hodnoceném období a počet unikátních pojištěnců v hodnoceném období se vypočte z celkového počtu unikátních pojištěnců, do kterého se nezahrnou unikátní pojištěnci, na které byl vykázán pouze výkon č. 09513 </w:t>
      </w:r>
      <w:r w:rsidRPr="00CA7996">
        <w:rPr>
          <w:rStyle w:val="Odkaznakoment"/>
          <w:sz w:val="24"/>
          <w:szCs w:val="24"/>
        </w:rPr>
        <w:t>p</w:t>
      </w:r>
      <w:r w:rsidRPr="00CA7996">
        <w:rPr>
          <w:szCs w:val="24"/>
        </w:rPr>
        <w:t>odle seznamu výkonů</w:t>
      </w:r>
      <w:r w:rsidRPr="00CA7996">
        <w:rPr>
          <w:bCs/>
          <w:szCs w:val="24"/>
        </w:rPr>
        <w:t xml:space="preserve">. </w:t>
      </w:r>
    </w:p>
    <w:p w14:paraId="51911809" w14:textId="45718DD3" w:rsidR="003224B4" w:rsidRPr="00CA7996" w:rsidRDefault="003224B4" w:rsidP="003224B4">
      <w:pPr>
        <w:pStyle w:val="Textodstavce"/>
        <w:numPr>
          <w:ilvl w:val="0"/>
          <w:numId w:val="18"/>
        </w:numPr>
        <w:tabs>
          <w:tab w:val="clear" w:pos="720"/>
          <w:tab w:val="left" w:pos="0"/>
          <w:tab w:val="num" w:pos="426"/>
        </w:tabs>
        <w:spacing w:before="0"/>
        <w:ind w:left="425" w:hanging="425"/>
        <w:rPr>
          <w:szCs w:val="24"/>
        </w:rPr>
      </w:pPr>
      <w:r w:rsidRPr="00CA7996">
        <w:rPr>
          <w:szCs w:val="24"/>
        </w:rPr>
        <w:t>Pokud poskytovatel dosáhne průměrné úhrady na jednoho unikátního pojištěnce za vyžádanou péči ve vyjmenovaných odbornostech v hodnoceném období vyšší než 1</w:t>
      </w:r>
      <w:r w:rsidR="00FF5F03" w:rsidRPr="00CA7996">
        <w:rPr>
          <w:szCs w:val="24"/>
        </w:rPr>
        <w:t>1</w:t>
      </w:r>
      <w:r w:rsidR="00580F3A" w:rsidRPr="00CA7996">
        <w:rPr>
          <w:szCs w:val="24"/>
        </w:rPr>
        <w:t>0</w:t>
      </w:r>
      <w:r w:rsidRPr="00CA7996">
        <w:rPr>
          <w:szCs w:val="24"/>
        </w:rPr>
        <w:t xml:space="preserve"> % průměrné úhrady na jednoho unikátního pojištěnce za vyžádanou péči ve vyjmenovaných odbornostech v referenčním období, zdravotní pojišťovna sníží poskytovateli celkovou úhradu o částku odpovídající součinu 2,5 % z překročení uvedené průměrné úhrady a počtu unikátních pojištěnců v hodnoceném období za každé započaté 0,5 % překročení uvedené průměrné úhrady, nejvýše však 40 % z překročení. </w:t>
      </w:r>
      <w:r w:rsidRPr="00CA7996">
        <w:rPr>
          <w:bCs/>
          <w:szCs w:val="24"/>
        </w:rPr>
        <w:t xml:space="preserve">Průměrná úhrada na jednoho unikátního pojištěnce v hodnoceném období a počet unikátních pojištěnců v hodnoceném období podle věty první se vypočte z celkového počtu unikátních pojištěnců, do kterého se nezahrnou unikátní pojištěnci, na které byl vykázán pouze výkon č. 09513 </w:t>
      </w:r>
      <w:r w:rsidRPr="00CA7996">
        <w:rPr>
          <w:rStyle w:val="Odkaznakoment"/>
          <w:sz w:val="24"/>
          <w:szCs w:val="24"/>
        </w:rPr>
        <w:t>p</w:t>
      </w:r>
      <w:r w:rsidRPr="00CA7996">
        <w:rPr>
          <w:szCs w:val="24"/>
        </w:rPr>
        <w:t>odle seznamu výkonů</w:t>
      </w:r>
      <w:r w:rsidRPr="00CA7996">
        <w:rPr>
          <w:bCs/>
          <w:szCs w:val="24"/>
        </w:rPr>
        <w:t xml:space="preserve">. </w:t>
      </w:r>
      <w:r w:rsidRPr="00CA7996">
        <w:rPr>
          <w:szCs w:val="24"/>
        </w:rPr>
        <w:t xml:space="preserve">Do vyžádané péče se nezahrnují výkony mamografického screeningu, screeningu karcinomu děložního hrdla a screeningu kolorektálního karcinomu prováděné poskytovatelem, který má se zdravotní pojišťovnou na poskytování těchto zdravotních výkonů uzavřenu smlouvu. Do vyžádané péče se dále nezahrnou náklady na pojištěnce zdravotní pojišťovny, na které byly poskytovatelem vykázány hrazené zdravotní služby definované v části B bodu 1 písm. a), b) nebo e). Pro účely stanovení výše průměrných úhrad i výše případné srážky podle věty první se výkony vyžádané péče v hodnoceném i referenčním období ocení podle seznamu výkonů ve znění účinném k 1.lednu </w:t>
      </w:r>
      <w:r w:rsidR="00104058" w:rsidRPr="00CA7996">
        <w:rPr>
          <w:szCs w:val="24"/>
        </w:rPr>
        <w:t>hodnoceného období</w:t>
      </w:r>
      <w:r w:rsidRPr="00CA7996">
        <w:rPr>
          <w:szCs w:val="24"/>
        </w:rPr>
        <w:t xml:space="preserve"> hodnotou bodu platnou v hodnoceném období.</w:t>
      </w:r>
    </w:p>
    <w:p w14:paraId="1AE59490" w14:textId="77777777" w:rsidR="003224B4" w:rsidRPr="00CA7996" w:rsidRDefault="003224B4" w:rsidP="003224B4">
      <w:pPr>
        <w:pStyle w:val="Textodstavce"/>
        <w:numPr>
          <w:ilvl w:val="0"/>
          <w:numId w:val="18"/>
        </w:numPr>
        <w:tabs>
          <w:tab w:val="clear" w:pos="720"/>
          <w:tab w:val="left" w:pos="0"/>
          <w:tab w:val="num" w:pos="426"/>
        </w:tabs>
        <w:spacing w:before="0"/>
        <w:ind w:left="425" w:hanging="425"/>
        <w:rPr>
          <w:szCs w:val="24"/>
        </w:rPr>
      </w:pPr>
      <w:r w:rsidRPr="00CA7996">
        <w:rPr>
          <w:bCs/>
          <w:szCs w:val="24"/>
        </w:rPr>
        <w:t>Regulační</w:t>
      </w:r>
      <w:r w:rsidRPr="00CA7996">
        <w:rPr>
          <w:szCs w:val="24"/>
        </w:rPr>
        <w:t xml:space="preserve"> omezení podle bodu 2 se nepoužijí, pokud součet úhrad zdravotní pojišťovny poskytovatelům specializované ambula</w:t>
      </w:r>
      <w:r w:rsidR="004652C7" w:rsidRPr="00CA7996">
        <w:rPr>
          <w:szCs w:val="24"/>
        </w:rPr>
        <w:t>n</w:t>
      </w:r>
      <w:r w:rsidRPr="00CA7996">
        <w:rPr>
          <w:szCs w:val="24"/>
        </w:rPr>
        <w:t>tní péče za zvlášť účtované léčivé přípravky a zvlášť účtovaný materiál v hodnoceném období nepřevýší u příslušné zdravotní pojišťovny součet úhrad na tento druh hrazených služeb v referenčním období.</w:t>
      </w:r>
    </w:p>
    <w:p w14:paraId="748126D6" w14:textId="24A7814F" w:rsidR="003224B4" w:rsidRPr="00CA7996" w:rsidRDefault="003224B4" w:rsidP="003224B4">
      <w:pPr>
        <w:pStyle w:val="Textodstavce"/>
        <w:numPr>
          <w:ilvl w:val="0"/>
          <w:numId w:val="18"/>
        </w:numPr>
        <w:tabs>
          <w:tab w:val="clear" w:pos="720"/>
          <w:tab w:val="left" w:pos="0"/>
          <w:tab w:val="num" w:pos="426"/>
        </w:tabs>
        <w:spacing w:before="0"/>
        <w:ind w:left="425" w:hanging="425"/>
        <w:rPr>
          <w:szCs w:val="24"/>
        </w:rPr>
      </w:pPr>
      <w:r w:rsidRPr="00CA7996">
        <w:rPr>
          <w:bCs/>
          <w:szCs w:val="24"/>
        </w:rPr>
        <w:t>Regulační</w:t>
      </w:r>
      <w:r w:rsidRPr="00CA7996">
        <w:rPr>
          <w:szCs w:val="24"/>
        </w:rPr>
        <w:t xml:space="preserve"> omezení podle bodu 3 se nepoužijí, pokud součet úhrad zdravotní pojišťovny za léčivé přípravky a zdravotnické prostředky předepsané poskytovateli specializované ambulantní péče v hodnoceném období nepřevýší předpokládanou výši úhrad na tento druh hrazených služeb </w:t>
      </w:r>
      <w:r w:rsidR="00284873" w:rsidRPr="00CA7996">
        <w:t xml:space="preserve">v hodnoceném období </w:t>
      </w:r>
      <w:r w:rsidRPr="00CA7996">
        <w:rPr>
          <w:szCs w:val="24"/>
        </w:rPr>
        <w:t xml:space="preserve">podle zdravotně pojistného plánu této zdravotní pojišťovny. </w:t>
      </w:r>
    </w:p>
    <w:p w14:paraId="19BBC75F" w14:textId="711C7B5A" w:rsidR="003224B4" w:rsidRPr="00CA7996" w:rsidRDefault="003224B4" w:rsidP="003224B4">
      <w:pPr>
        <w:pStyle w:val="Textodstavce"/>
        <w:numPr>
          <w:ilvl w:val="0"/>
          <w:numId w:val="18"/>
        </w:numPr>
        <w:tabs>
          <w:tab w:val="clear" w:pos="720"/>
          <w:tab w:val="left" w:pos="0"/>
          <w:tab w:val="num" w:pos="426"/>
        </w:tabs>
        <w:spacing w:before="0"/>
        <w:ind w:left="425" w:hanging="425"/>
        <w:rPr>
          <w:szCs w:val="24"/>
        </w:rPr>
      </w:pPr>
      <w:r w:rsidRPr="00CA7996">
        <w:rPr>
          <w:bCs/>
          <w:szCs w:val="24"/>
        </w:rPr>
        <w:t>Regulační</w:t>
      </w:r>
      <w:r w:rsidRPr="00CA7996">
        <w:rPr>
          <w:szCs w:val="24"/>
        </w:rPr>
        <w:t xml:space="preserve"> omezení podle bodu 4 se nepoužijí, pokud součet úhrad zdravotní pojišťovny za vyžádanou péči ve vyjmenovaných odbornostech v hodnoceném období nepřevýší předpokládanou výši úhrad na tento druh hrazených služeb </w:t>
      </w:r>
      <w:r w:rsidR="00284873" w:rsidRPr="00CA7996">
        <w:t xml:space="preserve">v hodnoceném období </w:t>
      </w:r>
      <w:r w:rsidRPr="00CA7996">
        <w:rPr>
          <w:szCs w:val="24"/>
        </w:rPr>
        <w:t>podle zdravotně pojistného plánu této zdravotní pojišťovny.</w:t>
      </w:r>
    </w:p>
    <w:p w14:paraId="53DC4314" w14:textId="77777777" w:rsidR="003224B4" w:rsidRPr="00CA7996" w:rsidRDefault="003224B4" w:rsidP="003224B4">
      <w:pPr>
        <w:pStyle w:val="Odstavecseseznamem"/>
        <w:numPr>
          <w:ilvl w:val="0"/>
          <w:numId w:val="18"/>
        </w:numPr>
        <w:tabs>
          <w:tab w:val="clear" w:pos="720"/>
          <w:tab w:val="num" w:pos="426"/>
        </w:tabs>
        <w:spacing w:after="120" w:line="240" w:lineRule="auto"/>
        <w:ind w:left="425" w:hanging="425"/>
        <w:jc w:val="both"/>
        <w:rPr>
          <w:rFonts w:ascii="Times New Roman" w:hAnsi="Times New Roman" w:cs="Times New Roman"/>
          <w:sz w:val="24"/>
          <w:szCs w:val="24"/>
        </w:rPr>
      </w:pPr>
      <w:r w:rsidRPr="00CA7996">
        <w:rPr>
          <w:rFonts w:ascii="Times New Roman" w:hAnsi="Times New Roman" w:cs="Times New Roman"/>
          <w:sz w:val="24"/>
          <w:szCs w:val="24"/>
        </w:rPr>
        <w:t>Pokud poskytovatel předepíše zdravotnický prostředek schválený revizním lékařem zdravotní pojišťovny, nezahrnuje se úhrada za tento zdravotnický prostředek do výpočtu regulačních omezení podle bodu 3.</w:t>
      </w:r>
    </w:p>
    <w:p w14:paraId="44063F9D" w14:textId="77777777" w:rsidR="003224B4" w:rsidRPr="00CA7996" w:rsidRDefault="003224B4" w:rsidP="003224B4">
      <w:pPr>
        <w:pStyle w:val="Textodstavce"/>
        <w:numPr>
          <w:ilvl w:val="0"/>
          <w:numId w:val="18"/>
        </w:numPr>
        <w:tabs>
          <w:tab w:val="clear" w:pos="720"/>
          <w:tab w:val="left" w:pos="0"/>
          <w:tab w:val="num" w:pos="426"/>
        </w:tabs>
        <w:spacing w:before="0"/>
        <w:ind w:left="425" w:hanging="425"/>
        <w:rPr>
          <w:szCs w:val="24"/>
        </w:rPr>
      </w:pPr>
      <w:r w:rsidRPr="00CA7996">
        <w:rPr>
          <w:szCs w:val="24"/>
        </w:rPr>
        <w:t xml:space="preserve">U poskytovatele, kde oproti referenčnímu období došlo ke změně nasmlouvaného rozsahu poskytovaných hrazených služeb, zdravotní pojišťovna po dohodě s poskytovatelem </w:t>
      </w:r>
      <w:r w:rsidRPr="00CA7996">
        <w:rPr>
          <w:szCs w:val="24"/>
        </w:rPr>
        <w:lastRenderedPageBreak/>
        <w:t>hodnoty průměrných úhrad v referenčním období pro tyto účely přiměřeně upraví; ke změně rozsahu dojde zejména v případě změny počtu nositelů výkonů oprávněných předepisovat léčivé přípravky a zdravotnické prostředky a vyžadovat péči ve vyjmenovaných odbornostech.</w:t>
      </w:r>
    </w:p>
    <w:p w14:paraId="3EC352B6" w14:textId="77777777" w:rsidR="003224B4" w:rsidRPr="00CA7996" w:rsidRDefault="003224B4" w:rsidP="003224B4">
      <w:pPr>
        <w:pStyle w:val="Textodstavce"/>
        <w:numPr>
          <w:ilvl w:val="0"/>
          <w:numId w:val="18"/>
        </w:numPr>
        <w:tabs>
          <w:tab w:val="clear" w:pos="720"/>
          <w:tab w:val="left" w:pos="0"/>
          <w:tab w:val="num" w:pos="426"/>
        </w:tabs>
        <w:spacing w:before="0"/>
        <w:ind w:left="425" w:hanging="425"/>
        <w:rPr>
          <w:szCs w:val="24"/>
        </w:rPr>
      </w:pPr>
      <w:r w:rsidRPr="00CA7996">
        <w:rPr>
          <w:szCs w:val="24"/>
        </w:rPr>
        <w:t>U poskytovatele, který v referenčním období nebo v jeho části neexistoval, neměl uzavřenu smlouvu se zdravotní pojišťovnou, nebo v případě převodu všech majetkových práv vztahujících se k poskytování podle § 17 odst. 8 zákona, použije zdravotní pojišťovna pro účely uplatnění regulačních omezení podle bodů 2 až 4 referenční hodnoty srovnatelných poskytovatelů.</w:t>
      </w:r>
    </w:p>
    <w:p w14:paraId="6648E070" w14:textId="1126B73C" w:rsidR="003224B4" w:rsidRPr="00CA7996" w:rsidRDefault="003224B4" w:rsidP="003224B4">
      <w:pPr>
        <w:pStyle w:val="Textodstavce"/>
        <w:numPr>
          <w:ilvl w:val="0"/>
          <w:numId w:val="18"/>
        </w:numPr>
        <w:tabs>
          <w:tab w:val="clear" w:pos="720"/>
          <w:tab w:val="left" w:pos="0"/>
          <w:tab w:val="num" w:pos="426"/>
        </w:tabs>
        <w:spacing w:before="0"/>
        <w:ind w:left="425" w:hanging="425"/>
        <w:rPr>
          <w:szCs w:val="24"/>
        </w:rPr>
      </w:pPr>
      <w:r w:rsidRPr="00CA7996">
        <w:rPr>
          <w:szCs w:val="24"/>
        </w:rPr>
        <w:t>Regulační omezení podle bodů 2 až 4 se nepoužije</w:t>
      </w:r>
      <w:r w:rsidR="006A1291" w:rsidRPr="00CA7996">
        <w:rPr>
          <w:szCs w:val="24"/>
        </w:rPr>
        <w:t xml:space="preserve">, </w:t>
      </w:r>
      <w:r w:rsidRPr="00CA7996">
        <w:rPr>
          <w:szCs w:val="24"/>
        </w:rPr>
        <w:t>pokud poskytovatel v referenčním nebo hodnoceném období ošetřil 50 a méně unikátních pojištěnců zdravotní pojišťovny při nasmlouvané kapacitě poskytovaných hrazených služeb nejméně 30 ordinačních hodin týdně. V případě nasmlouvané kapacity poskytovaných hrazených služeb menší než 30 ordinačních hodin týdně se limit 50 ošetřených unikátních pojištěnců přepočítává koeficientem n/30, kde n se rovná nasmlouvané kapacitě poskytovaných hrazených služeb pro danou odbornost.</w:t>
      </w:r>
    </w:p>
    <w:p w14:paraId="14D71E1A" w14:textId="77777777" w:rsidR="003224B4" w:rsidRPr="00CA7996" w:rsidRDefault="003224B4" w:rsidP="003224B4">
      <w:pPr>
        <w:pStyle w:val="Textodstavce"/>
        <w:numPr>
          <w:ilvl w:val="0"/>
          <w:numId w:val="18"/>
        </w:numPr>
        <w:tabs>
          <w:tab w:val="clear" w:pos="720"/>
          <w:tab w:val="clear" w:pos="851"/>
          <w:tab w:val="num" w:pos="426"/>
        </w:tabs>
        <w:spacing w:before="0" w:after="0"/>
        <w:ind w:left="425" w:hanging="425"/>
        <w:rPr>
          <w:szCs w:val="24"/>
        </w:rPr>
      </w:pPr>
      <w:r w:rsidRPr="00CA7996">
        <w:rPr>
          <w:szCs w:val="24"/>
        </w:rPr>
        <w:t>Zdravotní pojišťovna uplatní regulační srážku podle bodů 2 až 4 maximálně do výše odpovídající 15 % úhrady poskytnuté touto zdravotní pojišťovnou poskytovateli za výkony snížené o úhradu za zvlášť účtovaný materiál a zvlášť účtované léčivé přípravky za hodnocené období.</w:t>
      </w:r>
    </w:p>
    <w:p w14:paraId="1BAA9720" w14:textId="77777777" w:rsidR="003224B4" w:rsidRPr="00333012" w:rsidRDefault="003224B4" w:rsidP="003224B4">
      <w:pPr>
        <w:pStyle w:val="Textodstavce"/>
        <w:numPr>
          <w:ilvl w:val="0"/>
          <w:numId w:val="0"/>
        </w:numPr>
        <w:tabs>
          <w:tab w:val="clear" w:pos="851"/>
        </w:tabs>
        <w:spacing w:before="0" w:after="0"/>
        <w:ind w:left="425"/>
        <w:rPr>
          <w:szCs w:val="24"/>
        </w:rPr>
      </w:pPr>
    </w:p>
    <w:p w14:paraId="7A746BA1" w14:textId="77777777" w:rsidR="00056C8D" w:rsidRPr="00665CF0" w:rsidRDefault="00056C8D" w:rsidP="00093BDE">
      <w:pPr>
        <w:pStyle w:val="Zkladntextodsazen"/>
        <w:widowControl w:val="0"/>
        <w:ind w:left="709" w:firstLine="0"/>
        <w:jc w:val="left"/>
        <w:rPr>
          <w:sz w:val="24"/>
          <w:szCs w:val="24"/>
        </w:rPr>
      </w:pPr>
    </w:p>
    <w:sectPr w:rsidR="00056C8D" w:rsidRPr="00665CF0" w:rsidSect="00092D0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39F2F" w14:textId="77777777" w:rsidR="00072017" w:rsidRDefault="00072017" w:rsidP="004670F0">
      <w:pPr>
        <w:spacing w:after="0" w:line="240" w:lineRule="auto"/>
      </w:pPr>
      <w:r>
        <w:separator/>
      </w:r>
    </w:p>
  </w:endnote>
  <w:endnote w:type="continuationSeparator" w:id="0">
    <w:p w14:paraId="209DA78C" w14:textId="77777777" w:rsidR="00072017" w:rsidRDefault="00072017" w:rsidP="004670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9972967"/>
      <w:docPartObj>
        <w:docPartGallery w:val="Page Numbers (Bottom of Page)"/>
        <w:docPartUnique/>
      </w:docPartObj>
    </w:sdtPr>
    <w:sdtEndPr/>
    <w:sdtContent>
      <w:sdt>
        <w:sdtPr>
          <w:id w:val="860082579"/>
          <w:docPartObj>
            <w:docPartGallery w:val="Page Numbers (Top of Page)"/>
            <w:docPartUnique/>
          </w:docPartObj>
        </w:sdtPr>
        <w:sdtEndPr/>
        <w:sdtContent>
          <w:p w14:paraId="73F4FB59" w14:textId="77777777" w:rsidR="00E14EB8" w:rsidRDefault="00226301">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noProof/>
              </w:rPr>
              <w:t>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3</w:t>
            </w:r>
            <w:r>
              <w:rPr>
                <w:b/>
                <w:bCs/>
                <w:sz w:val="24"/>
                <w:szCs w:val="24"/>
              </w:rPr>
              <w:fldChar w:fldCharType="end"/>
            </w:r>
          </w:p>
        </w:sdtContent>
      </w:sdt>
    </w:sdtContent>
  </w:sdt>
  <w:p w14:paraId="185B6F5C" w14:textId="77777777" w:rsidR="00E14EB8" w:rsidRDefault="00652A2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20ADA" w14:textId="77777777" w:rsidR="00072017" w:rsidRDefault="00072017" w:rsidP="004670F0">
      <w:pPr>
        <w:spacing w:after="0" w:line="240" w:lineRule="auto"/>
      </w:pPr>
      <w:r>
        <w:separator/>
      </w:r>
    </w:p>
  </w:footnote>
  <w:footnote w:type="continuationSeparator" w:id="0">
    <w:p w14:paraId="20069D8F" w14:textId="77777777" w:rsidR="00072017" w:rsidRDefault="00072017" w:rsidP="004670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4AA9F" w14:textId="16D57A64" w:rsidR="00D77287" w:rsidRDefault="00226301" w:rsidP="000765A7">
    <w:pPr>
      <w:pStyle w:val="Zhlav"/>
      <w:jc w:val="right"/>
      <w:rPr>
        <w:i/>
        <w:sz w:val="22"/>
      </w:rPr>
    </w:pPr>
    <w:r w:rsidRPr="00C75CBD">
      <w:rPr>
        <w:i/>
        <w:sz w:val="22"/>
      </w:rPr>
      <w:t>DŘ 202</w:t>
    </w:r>
    <w:r w:rsidR="0032792D">
      <w:rPr>
        <w:i/>
        <w:sz w:val="22"/>
      </w:rPr>
      <w:t>6</w:t>
    </w:r>
    <w:r w:rsidRPr="00C75CBD">
      <w:rPr>
        <w:i/>
        <w:sz w:val="22"/>
      </w:rPr>
      <w:t>: Skupina poskytovatelů</w:t>
    </w:r>
    <w:r w:rsidR="004670F0">
      <w:rPr>
        <w:i/>
        <w:sz w:val="22"/>
      </w:rPr>
      <w:t xml:space="preserve"> ambulantní </w:t>
    </w:r>
    <w:r w:rsidR="003224B4">
      <w:rPr>
        <w:i/>
        <w:sz w:val="22"/>
      </w:rPr>
      <w:t>dialyzační</w:t>
    </w:r>
    <w:r w:rsidR="004670F0">
      <w:rPr>
        <w:i/>
        <w:sz w:val="22"/>
      </w:rPr>
      <w:t xml:space="preserve"> </w:t>
    </w:r>
    <w:r>
      <w:rPr>
        <w:i/>
        <w:sz w:val="22"/>
      </w:rPr>
      <w:t>péč</w:t>
    </w:r>
    <w:r w:rsidR="00216FC9">
      <w:rPr>
        <w:i/>
        <w:sz w:val="22"/>
      </w:rPr>
      <w:t>e</w:t>
    </w:r>
  </w:p>
  <w:p w14:paraId="16C50C39" w14:textId="1107454E" w:rsidR="00526E65" w:rsidRDefault="00526E65" w:rsidP="000765A7">
    <w:pPr>
      <w:pStyle w:val="Zhlav"/>
      <w:jc w:val="right"/>
      <w:rPr>
        <w:i/>
        <w:sz w:val="22"/>
      </w:rPr>
    </w:pPr>
    <w:r>
      <w:rPr>
        <w:i/>
        <w:sz w:val="22"/>
      </w:rPr>
      <w:t>Závěrečná fáze DŘ pro rok 2026</w:t>
    </w:r>
    <w:r w:rsidR="00652A29">
      <w:rPr>
        <w:i/>
        <w:sz w:val="22"/>
      </w:rPr>
      <w:t xml:space="preserve"> – příloha č.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51E89"/>
    <w:multiLevelType w:val="hybridMultilevel"/>
    <w:tmpl w:val="DE620CB0"/>
    <w:lvl w:ilvl="0" w:tplc="97D8AB10">
      <w:start w:val="2"/>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16668E"/>
    <w:multiLevelType w:val="hybridMultilevel"/>
    <w:tmpl w:val="9C0CF46E"/>
    <w:lvl w:ilvl="0" w:tplc="04050017">
      <w:start w:val="1"/>
      <w:numFmt w:val="lowerLetter"/>
      <w:lvlText w:val="%1)"/>
      <w:lvlJc w:val="left"/>
      <w:pPr>
        <w:tabs>
          <w:tab w:val="num" w:pos="1070"/>
        </w:tabs>
        <w:ind w:left="10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B0E3F"/>
    <w:multiLevelType w:val="hybridMultilevel"/>
    <w:tmpl w:val="94AACFA4"/>
    <w:lvl w:ilvl="0" w:tplc="04050017">
      <w:start w:val="1"/>
      <w:numFmt w:val="lowerLetter"/>
      <w:lvlText w:val="%1)"/>
      <w:lvlJc w:val="left"/>
      <w:pPr>
        <w:tabs>
          <w:tab w:val="num" w:pos="3060"/>
        </w:tabs>
        <w:ind w:left="3060" w:hanging="360"/>
      </w:pPr>
      <w:rPr>
        <w:rFonts w:hint="default"/>
      </w:rPr>
    </w:lvl>
    <w:lvl w:ilvl="1" w:tplc="04050017">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CAE6FCB"/>
    <w:multiLevelType w:val="hybridMultilevel"/>
    <w:tmpl w:val="8036F9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7842E2C"/>
    <w:multiLevelType w:val="hybridMultilevel"/>
    <w:tmpl w:val="DE3661F8"/>
    <w:lvl w:ilvl="0" w:tplc="C6C61322">
      <w:start w:val="4"/>
      <w:numFmt w:val="upperLetter"/>
      <w:lvlText w:val="%1)"/>
      <w:lvlJc w:val="left"/>
      <w:pPr>
        <w:tabs>
          <w:tab w:val="num" w:pos="712"/>
        </w:tabs>
        <w:ind w:left="712" w:hanging="360"/>
      </w:pPr>
      <w:rPr>
        <w:rFonts w:cs="Times New Roman" w:hint="default"/>
      </w:rPr>
    </w:lvl>
    <w:lvl w:ilvl="1" w:tplc="04050017">
      <w:start w:val="1"/>
      <w:numFmt w:val="lowerLetter"/>
      <w:lvlText w:val="%2)"/>
      <w:lvlJc w:val="left"/>
      <w:pPr>
        <w:ind w:left="1432" w:hanging="360"/>
      </w:pPr>
    </w:lvl>
    <w:lvl w:ilvl="2" w:tplc="0405001B" w:tentative="1">
      <w:start w:val="1"/>
      <w:numFmt w:val="lowerRoman"/>
      <w:lvlText w:val="%3."/>
      <w:lvlJc w:val="right"/>
      <w:pPr>
        <w:ind w:left="2152" w:hanging="180"/>
      </w:pPr>
    </w:lvl>
    <w:lvl w:ilvl="3" w:tplc="0405000F" w:tentative="1">
      <w:start w:val="1"/>
      <w:numFmt w:val="decimal"/>
      <w:lvlText w:val="%4."/>
      <w:lvlJc w:val="left"/>
      <w:pPr>
        <w:ind w:left="2872" w:hanging="360"/>
      </w:pPr>
    </w:lvl>
    <w:lvl w:ilvl="4" w:tplc="04050019" w:tentative="1">
      <w:start w:val="1"/>
      <w:numFmt w:val="lowerLetter"/>
      <w:lvlText w:val="%5."/>
      <w:lvlJc w:val="left"/>
      <w:pPr>
        <w:ind w:left="3592" w:hanging="360"/>
      </w:pPr>
    </w:lvl>
    <w:lvl w:ilvl="5" w:tplc="0405001B" w:tentative="1">
      <w:start w:val="1"/>
      <w:numFmt w:val="lowerRoman"/>
      <w:lvlText w:val="%6."/>
      <w:lvlJc w:val="right"/>
      <w:pPr>
        <w:ind w:left="4312" w:hanging="180"/>
      </w:pPr>
    </w:lvl>
    <w:lvl w:ilvl="6" w:tplc="0405000F" w:tentative="1">
      <w:start w:val="1"/>
      <w:numFmt w:val="decimal"/>
      <w:lvlText w:val="%7."/>
      <w:lvlJc w:val="left"/>
      <w:pPr>
        <w:ind w:left="5032" w:hanging="360"/>
      </w:pPr>
    </w:lvl>
    <w:lvl w:ilvl="7" w:tplc="04050019" w:tentative="1">
      <w:start w:val="1"/>
      <w:numFmt w:val="lowerLetter"/>
      <w:lvlText w:val="%8."/>
      <w:lvlJc w:val="left"/>
      <w:pPr>
        <w:ind w:left="5752" w:hanging="360"/>
      </w:pPr>
    </w:lvl>
    <w:lvl w:ilvl="8" w:tplc="0405001B" w:tentative="1">
      <w:start w:val="1"/>
      <w:numFmt w:val="lowerRoman"/>
      <w:lvlText w:val="%9."/>
      <w:lvlJc w:val="right"/>
      <w:pPr>
        <w:ind w:left="6472" w:hanging="180"/>
      </w:pPr>
    </w:lvl>
  </w:abstractNum>
  <w:abstractNum w:abstractNumId="5" w15:restartNumberingAfterBreak="0">
    <w:nsid w:val="27E242DB"/>
    <w:multiLevelType w:val="hybridMultilevel"/>
    <w:tmpl w:val="29EA6226"/>
    <w:lvl w:ilvl="0" w:tplc="1054D574">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6D5A7A"/>
    <w:multiLevelType w:val="hybridMultilevel"/>
    <w:tmpl w:val="A08814B4"/>
    <w:lvl w:ilvl="0" w:tplc="4AF2A22E">
      <w:start w:val="4"/>
      <w:numFmt w:val="decimal"/>
      <w:lvlText w:val="%1."/>
      <w:lvlJc w:val="left"/>
      <w:pPr>
        <w:tabs>
          <w:tab w:val="num" w:pos="3060"/>
        </w:tabs>
        <w:ind w:left="30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75664B"/>
    <w:multiLevelType w:val="hybridMultilevel"/>
    <w:tmpl w:val="61DE0BFE"/>
    <w:lvl w:ilvl="0" w:tplc="6450F15C">
      <w:start w:val="1"/>
      <w:numFmt w:val="lowerLetter"/>
      <w:lvlText w:val="%1)"/>
      <w:lvlJc w:val="left"/>
      <w:pPr>
        <w:ind w:left="1440" w:hanging="360"/>
      </w:pPr>
      <w:rPr>
        <w:b w:val="0"/>
      </w:rPr>
    </w:lvl>
    <w:lvl w:ilvl="1" w:tplc="0405001B">
      <w:start w:val="1"/>
      <w:numFmt w:val="lowerRoman"/>
      <w:lvlText w:val="%2."/>
      <w:lvlJc w:val="righ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31A6706C"/>
    <w:multiLevelType w:val="multilevel"/>
    <w:tmpl w:val="DB3C482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1FE2490"/>
    <w:multiLevelType w:val="hybridMultilevel"/>
    <w:tmpl w:val="0EFAD460"/>
    <w:lvl w:ilvl="0" w:tplc="D292C576">
      <w:start w:val="1"/>
      <w:numFmt w:val="lowerLetter"/>
      <w:lvlText w:val="%1)"/>
      <w:lvlJc w:val="left"/>
      <w:pPr>
        <w:ind w:left="1145" w:hanging="360"/>
      </w:pPr>
      <w:rPr>
        <w:rFonts w:hint="default"/>
        <w:sz w:val="24"/>
      </w:rPr>
    </w:lvl>
    <w:lvl w:ilvl="1" w:tplc="0405001B">
      <w:start w:val="1"/>
      <w:numFmt w:val="lowerRoman"/>
      <w:lvlText w:val="%2."/>
      <w:lvlJc w:val="right"/>
      <w:pPr>
        <w:ind w:left="1865" w:hanging="360"/>
      </w:pPr>
    </w:lvl>
    <w:lvl w:ilvl="2" w:tplc="0405001B">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354C65D5"/>
    <w:multiLevelType w:val="hybridMultilevel"/>
    <w:tmpl w:val="A8ECD962"/>
    <w:lvl w:ilvl="0" w:tplc="6A3CD9B6">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8716C0"/>
    <w:multiLevelType w:val="hybridMultilevel"/>
    <w:tmpl w:val="EC0AE7B2"/>
    <w:lvl w:ilvl="0" w:tplc="2A58DB80">
      <w:start w:val="2"/>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8B30F0"/>
    <w:multiLevelType w:val="multilevel"/>
    <w:tmpl w:val="DDF486A2"/>
    <w:lvl w:ilvl="0">
      <w:start w:val="1"/>
      <w:numFmt w:val="decimal"/>
      <w:lvlText w:val="%1)"/>
      <w:lvlJc w:val="left"/>
      <w:pPr>
        <w:ind w:left="360" w:hanging="360"/>
      </w:pPr>
      <w:rPr>
        <w:rFonts w:hint="default"/>
      </w:rPr>
    </w:lvl>
    <w:lvl w:ilvl="1">
      <w:start w:val="3"/>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5CC61A2"/>
    <w:multiLevelType w:val="hybridMultilevel"/>
    <w:tmpl w:val="A11EADE8"/>
    <w:lvl w:ilvl="0" w:tplc="04050017">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4" w15:restartNumberingAfterBreak="0">
    <w:nsid w:val="4C872205"/>
    <w:multiLevelType w:val="hybridMultilevel"/>
    <w:tmpl w:val="2BDCDD98"/>
    <w:lvl w:ilvl="0" w:tplc="EC1221DA">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66C29E5"/>
    <w:multiLevelType w:val="hybridMultilevel"/>
    <w:tmpl w:val="BC32623E"/>
    <w:lvl w:ilvl="0" w:tplc="D292C576">
      <w:start w:val="1"/>
      <w:numFmt w:val="lowerLetter"/>
      <w:lvlText w:val="%1)"/>
      <w:lvlJc w:val="left"/>
      <w:pPr>
        <w:ind w:left="144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69279BE"/>
    <w:multiLevelType w:val="multilevel"/>
    <w:tmpl w:val="BEBE2476"/>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CF20360"/>
    <w:multiLevelType w:val="hybridMultilevel"/>
    <w:tmpl w:val="1F5A41BA"/>
    <w:lvl w:ilvl="0" w:tplc="DA02F772">
      <w:start w:val="1"/>
      <w:numFmt w:val="upperLetter"/>
      <w:lvlText w:val="%1)"/>
      <w:lvlJc w:val="left"/>
      <w:pPr>
        <w:tabs>
          <w:tab w:val="num" w:pos="720"/>
        </w:tabs>
        <w:ind w:left="720" w:hanging="360"/>
      </w:pPr>
      <w:rPr>
        <w:rFonts w:cs="Times New Roman" w:hint="default"/>
      </w:rPr>
    </w:lvl>
    <w:lvl w:ilvl="1" w:tplc="86107C90">
      <w:start w:val="1"/>
      <w:numFmt w:val="lowerLetter"/>
      <w:lvlText w:val="%2)"/>
      <w:lvlJc w:val="left"/>
      <w:pPr>
        <w:tabs>
          <w:tab w:val="num" w:pos="1069"/>
        </w:tabs>
        <w:ind w:left="1069"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0126C8B"/>
    <w:multiLevelType w:val="hybridMultilevel"/>
    <w:tmpl w:val="4F96B37E"/>
    <w:lvl w:ilvl="0" w:tplc="63F069F4">
      <w:start w:val="1"/>
      <w:numFmt w:val="lowerLetter"/>
      <w:lvlText w:val="%1)"/>
      <w:lvlJc w:val="left"/>
      <w:pPr>
        <w:ind w:left="1440" w:hanging="360"/>
      </w:pPr>
      <w:rPr>
        <w:rFonts w:hint="default"/>
        <w:sz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6AAF1A1F"/>
    <w:multiLevelType w:val="multilevel"/>
    <w:tmpl w:val="E3142116"/>
    <w:lvl w:ilvl="0">
      <w:start w:val="1"/>
      <w:numFmt w:val="decimal"/>
      <w:pStyle w:val="Textodstavce"/>
      <w:isLgl/>
      <w:lvlText w:val="(%1)"/>
      <w:lvlJc w:val="left"/>
      <w:pPr>
        <w:tabs>
          <w:tab w:val="num" w:pos="785"/>
        </w:tabs>
        <w:ind w:left="0" w:firstLine="425"/>
      </w:pPr>
      <w:rPr>
        <w:rFonts w:cs="Times New Roman" w:hint="default"/>
      </w:rPr>
    </w:lvl>
    <w:lvl w:ilvl="1">
      <w:start w:val="1"/>
      <w:numFmt w:val="lowerLetter"/>
      <w:pStyle w:val="Textpsmene"/>
      <w:lvlText w:val="%2)"/>
      <w:lvlJc w:val="left"/>
      <w:pPr>
        <w:tabs>
          <w:tab w:val="num" w:pos="425"/>
        </w:tabs>
        <w:ind w:left="425" w:hanging="425"/>
      </w:pPr>
      <w:rPr>
        <w:rFonts w:cs="Times New Roman" w:hint="default"/>
      </w:rPr>
    </w:lvl>
    <w:lvl w:ilvl="2">
      <w:numFmt w:val="bullet"/>
      <w:pStyle w:val="Textbodu"/>
      <w:lvlText w:val="-"/>
      <w:lvlJc w:val="left"/>
      <w:pPr>
        <w:tabs>
          <w:tab w:val="num" w:pos="851"/>
        </w:tabs>
        <w:ind w:left="851" w:hanging="426"/>
      </w:pPr>
      <w:rPr>
        <w:rFonts w:ascii="Calibri" w:eastAsiaTheme="minorHAnsi" w:hAnsi="Calibri" w:cstheme="minorBidi"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52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20" w15:restartNumberingAfterBreak="0">
    <w:nsid w:val="6ADC5816"/>
    <w:multiLevelType w:val="hybridMultilevel"/>
    <w:tmpl w:val="55A61412"/>
    <w:lvl w:ilvl="0" w:tplc="14647C96">
      <w:start w:val="1"/>
      <w:numFmt w:val="decimal"/>
      <w:lvlText w:val="%1."/>
      <w:lvlJc w:val="left"/>
      <w:pPr>
        <w:tabs>
          <w:tab w:val="num" w:pos="3060"/>
        </w:tabs>
        <w:ind w:left="30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F5319F1"/>
    <w:multiLevelType w:val="hybridMultilevel"/>
    <w:tmpl w:val="AAF2AF88"/>
    <w:lvl w:ilvl="0" w:tplc="DB584C40">
      <w:start w:val="1"/>
      <w:numFmt w:val="upperLetter"/>
      <w:lvlText w:val="%1)"/>
      <w:lvlJc w:val="left"/>
      <w:pPr>
        <w:tabs>
          <w:tab w:val="num" w:pos="502"/>
        </w:tabs>
        <w:ind w:left="502"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0ED742A"/>
    <w:multiLevelType w:val="hybridMultilevel"/>
    <w:tmpl w:val="DC428728"/>
    <w:lvl w:ilvl="0" w:tplc="6A3CD9B6">
      <w:start w:val="1"/>
      <w:numFmt w:val="decimal"/>
      <w:lvlText w:val="%1."/>
      <w:lvlJc w:val="left"/>
      <w:pPr>
        <w:ind w:left="720" w:hanging="360"/>
      </w:pPr>
    </w:lvl>
    <w:lvl w:ilvl="1" w:tplc="A0DC89F6">
      <w:start w:val="1"/>
      <w:numFmt w:val="lowerLetter"/>
      <w:lvlText w:val="%2)"/>
      <w:lvlJc w:val="left"/>
      <w:pPr>
        <w:ind w:left="1440" w:hanging="360"/>
      </w:pPr>
      <w:rPr>
        <w:sz w:val="24"/>
        <w:szCs w:val="24"/>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B7D33E0"/>
    <w:multiLevelType w:val="hybridMultilevel"/>
    <w:tmpl w:val="61E60B6E"/>
    <w:lvl w:ilvl="0" w:tplc="04050017">
      <w:start w:val="1"/>
      <w:numFmt w:val="lowerLetter"/>
      <w:lvlText w:val="%1)"/>
      <w:lvlJc w:val="left"/>
      <w:pPr>
        <w:tabs>
          <w:tab w:val="num" w:pos="3060"/>
        </w:tabs>
        <w:ind w:left="3060" w:hanging="360"/>
      </w:pPr>
      <w:rPr>
        <w:rFonts w:hint="default"/>
      </w:rPr>
    </w:lvl>
    <w:lvl w:ilvl="1" w:tplc="0405001B">
      <w:start w:val="1"/>
      <w:numFmt w:val="lowerRoman"/>
      <w:lvlText w:val="%2."/>
      <w:lvlJc w:val="right"/>
      <w:pPr>
        <w:tabs>
          <w:tab w:val="num" w:pos="1440"/>
        </w:tabs>
        <w:ind w:left="1440" w:hanging="360"/>
      </w:p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CE10C3D"/>
    <w:multiLevelType w:val="hybridMultilevel"/>
    <w:tmpl w:val="ABD0F72A"/>
    <w:lvl w:ilvl="0" w:tplc="04050017">
      <w:start w:val="1"/>
      <w:numFmt w:val="lowerLetter"/>
      <w:lvlText w:val="%1)"/>
      <w:lvlJc w:val="left"/>
      <w:pPr>
        <w:tabs>
          <w:tab w:val="num" w:pos="2918"/>
        </w:tabs>
        <w:ind w:left="2918" w:hanging="360"/>
      </w:pPr>
      <w:rPr>
        <w:rFonts w:hint="default"/>
      </w:rPr>
    </w:lvl>
    <w:lvl w:ilvl="1" w:tplc="04050017">
      <w:start w:val="1"/>
      <w:numFmt w:val="lowerLetter"/>
      <w:lvlText w:val="%2)"/>
      <w:lvlJc w:val="left"/>
      <w:pPr>
        <w:tabs>
          <w:tab w:val="num" w:pos="1298"/>
        </w:tabs>
        <w:ind w:left="1298" w:hanging="360"/>
      </w:pPr>
      <w:rPr>
        <w:rFonts w:hint="default"/>
        <w:sz w:val="24"/>
      </w:rPr>
    </w:lvl>
    <w:lvl w:ilvl="2" w:tplc="0405001B">
      <w:start w:val="1"/>
      <w:numFmt w:val="lowerRoman"/>
      <w:lvlText w:val="%3."/>
      <w:lvlJc w:val="right"/>
      <w:pPr>
        <w:tabs>
          <w:tab w:val="num" w:pos="2018"/>
        </w:tabs>
        <w:ind w:left="2018" w:hanging="180"/>
      </w:pPr>
      <w:rPr>
        <w:rFonts w:cs="Times New Roman"/>
      </w:rPr>
    </w:lvl>
    <w:lvl w:ilvl="3" w:tplc="2F7ACD12">
      <w:start w:val="1"/>
      <w:numFmt w:val="decimal"/>
      <w:lvlText w:val="%4)"/>
      <w:lvlJc w:val="left"/>
      <w:pPr>
        <w:tabs>
          <w:tab w:val="num" w:pos="2738"/>
        </w:tabs>
        <w:ind w:left="2738" w:hanging="360"/>
      </w:pPr>
      <w:rPr>
        <w:rFonts w:cs="Times New Roman" w:hint="default"/>
        <w:b/>
        <w:i w:val="0"/>
      </w:rPr>
    </w:lvl>
    <w:lvl w:ilvl="4" w:tplc="04050017">
      <w:start w:val="1"/>
      <w:numFmt w:val="lowerLetter"/>
      <w:lvlText w:val="%5)"/>
      <w:lvlJc w:val="left"/>
      <w:pPr>
        <w:tabs>
          <w:tab w:val="num" w:pos="928"/>
        </w:tabs>
        <w:ind w:left="928" w:hanging="360"/>
      </w:pPr>
    </w:lvl>
    <w:lvl w:ilvl="5" w:tplc="0405001B" w:tentative="1">
      <w:start w:val="1"/>
      <w:numFmt w:val="lowerRoman"/>
      <w:lvlText w:val="%6."/>
      <w:lvlJc w:val="right"/>
      <w:pPr>
        <w:tabs>
          <w:tab w:val="num" w:pos="4178"/>
        </w:tabs>
        <w:ind w:left="4178" w:hanging="180"/>
      </w:pPr>
      <w:rPr>
        <w:rFonts w:cs="Times New Roman"/>
      </w:rPr>
    </w:lvl>
    <w:lvl w:ilvl="6" w:tplc="0405000F" w:tentative="1">
      <w:start w:val="1"/>
      <w:numFmt w:val="decimal"/>
      <w:lvlText w:val="%7."/>
      <w:lvlJc w:val="left"/>
      <w:pPr>
        <w:tabs>
          <w:tab w:val="num" w:pos="4898"/>
        </w:tabs>
        <w:ind w:left="4898" w:hanging="360"/>
      </w:pPr>
      <w:rPr>
        <w:rFonts w:cs="Times New Roman"/>
      </w:rPr>
    </w:lvl>
    <w:lvl w:ilvl="7" w:tplc="04050019" w:tentative="1">
      <w:start w:val="1"/>
      <w:numFmt w:val="lowerLetter"/>
      <w:lvlText w:val="%8."/>
      <w:lvlJc w:val="left"/>
      <w:pPr>
        <w:tabs>
          <w:tab w:val="num" w:pos="5618"/>
        </w:tabs>
        <w:ind w:left="5618" w:hanging="360"/>
      </w:pPr>
      <w:rPr>
        <w:rFonts w:cs="Times New Roman"/>
      </w:rPr>
    </w:lvl>
    <w:lvl w:ilvl="8" w:tplc="0405001B" w:tentative="1">
      <w:start w:val="1"/>
      <w:numFmt w:val="lowerRoman"/>
      <w:lvlText w:val="%9."/>
      <w:lvlJc w:val="right"/>
      <w:pPr>
        <w:tabs>
          <w:tab w:val="num" w:pos="6338"/>
        </w:tabs>
        <w:ind w:left="6338" w:hanging="180"/>
      </w:pPr>
      <w:rPr>
        <w:rFonts w:cs="Times New Roman"/>
      </w:rPr>
    </w:lvl>
  </w:abstractNum>
  <w:num w:numId="1">
    <w:abstractNumId w:val="14"/>
  </w:num>
  <w:num w:numId="2">
    <w:abstractNumId w:val="12"/>
  </w:num>
  <w:num w:numId="3">
    <w:abstractNumId w:val="3"/>
  </w:num>
  <w:num w:numId="4">
    <w:abstractNumId w:val="5"/>
  </w:num>
  <w:num w:numId="5">
    <w:abstractNumId w:val="17"/>
  </w:num>
  <w:num w:numId="6">
    <w:abstractNumId w:val="20"/>
  </w:num>
  <w:num w:numId="7">
    <w:abstractNumId w:val="16"/>
  </w:num>
  <w:num w:numId="8">
    <w:abstractNumId w:val="23"/>
  </w:num>
  <w:num w:numId="9">
    <w:abstractNumId w:val="0"/>
  </w:num>
  <w:num w:numId="10">
    <w:abstractNumId w:val="18"/>
  </w:num>
  <w:num w:numId="11">
    <w:abstractNumId w:val="19"/>
  </w:num>
  <w:num w:numId="12">
    <w:abstractNumId w:val="2"/>
  </w:num>
  <w:num w:numId="13">
    <w:abstractNumId w:val="6"/>
  </w:num>
  <w:num w:numId="14">
    <w:abstractNumId w:val="21"/>
  </w:num>
  <w:num w:numId="15">
    <w:abstractNumId w:val="22"/>
  </w:num>
  <w:num w:numId="16">
    <w:abstractNumId w:val="8"/>
  </w:num>
  <w:num w:numId="17">
    <w:abstractNumId w:val="15"/>
  </w:num>
  <w:num w:numId="18">
    <w:abstractNumId w:val="11"/>
  </w:num>
  <w:num w:numId="19">
    <w:abstractNumId w:val="24"/>
  </w:num>
  <w:num w:numId="20">
    <w:abstractNumId w:val="10"/>
  </w:num>
  <w:num w:numId="21">
    <w:abstractNumId w:val="7"/>
  </w:num>
  <w:num w:numId="22">
    <w:abstractNumId w:val="9"/>
  </w:num>
  <w:num w:numId="23">
    <w:abstractNumId w:val="4"/>
  </w:num>
  <w:num w:numId="24">
    <w:abstractNumId w:val="1"/>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0F0"/>
    <w:rsid w:val="00006027"/>
    <w:rsid w:val="00056C8D"/>
    <w:rsid w:val="00072017"/>
    <w:rsid w:val="000765A7"/>
    <w:rsid w:val="00093BDE"/>
    <w:rsid w:val="000A0843"/>
    <w:rsid w:val="000A14E7"/>
    <w:rsid w:val="00104058"/>
    <w:rsid w:val="0011737B"/>
    <w:rsid w:val="001460A1"/>
    <w:rsid w:val="00167614"/>
    <w:rsid w:val="001B5FFD"/>
    <w:rsid w:val="00216FC9"/>
    <w:rsid w:val="00226301"/>
    <w:rsid w:val="00284873"/>
    <w:rsid w:val="002E4C46"/>
    <w:rsid w:val="002F01B1"/>
    <w:rsid w:val="003158FA"/>
    <w:rsid w:val="003224B4"/>
    <w:rsid w:val="0032792D"/>
    <w:rsid w:val="00333012"/>
    <w:rsid w:val="0034053F"/>
    <w:rsid w:val="00357348"/>
    <w:rsid w:val="003C3FA5"/>
    <w:rsid w:val="004652C7"/>
    <w:rsid w:val="004670F0"/>
    <w:rsid w:val="00483FD6"/>
    <w:rsid w:val="00513914"/>
    <w:rsid w:val="00526E65"/>
    <w:rsid w:val="005315C8"/>
    <w:rsid w:val="00546624"/>
    <w:rsid w:val="00563E80"/>
    <w:rsid w:val="00580F3A"/>
    <w:rsid w:val="00590527"/>
    <w:rsid w:val="005A1ABC"/>
    <w:rsid w:val="005B5E57"/>
    <w:rsid w:val="005C3B06"/>
    <w:rsid w:val="005C4BA8"/>
    <w:rsid w:val="005D12F6"/>
    <w:rsid w:val="0060639C"/>
    <w:rsid w:val="0061572A"/>
    <w:rsid w:val="00652A29"/>
    <w:rsid w:val="006621DF"/>
    <w:rsid w:val="00665CF0"/>
    <w:rsid w:val="006A1291"/>
    <w:rsid w:val="006B05E4"/>
    <w:rsid w:val="006F50D9"/>
    <w:rsid w:val="007563BC"/>
    <w:rsid w:val="007B7EFF"/>
    <w:rsid w:val="007D17F2"/>
    <w:rsid w:val="008132EC"/>
    <w:rsid w:val="00820D6E"/>
    <w:rsid w:val="0083128F"/>
    <w:rsid w:val="008342E1"/>
    <w:rsid w:val="00885679"/>
    <w:rsid w:val="008B5220"/>
    <w:rsid w:val="008B697F"/>
    <w:rsid w:val="008C3AD2"/>
    <w:rsid w:val="00931D5E"/>
    <w:rsid w:val="009355E6"/>
    <w:rsid w:val="00941CD0"/>
    <w:rsid w:val="0095109E"/>
    <w:rsid w:val="00976D8A"/>
    <w:rsid w:val="00997D0F"/>
    <w:rsid w:val="009A0A40"/>
    <w:rsid w:val="009C7B07"/>
    <w:rsid w:val="009D067E"/>
    <w:rsid w:val="00A623A5"/>
    <w:rsid w:val="00AC781F"/>
    <w:rsid w:val="00AE73F7"/>
    <w:rsid w:val="00B003B2"/>
    <w:rsid w:val="00B25236"/>
    <w:rsid w:val="00B2698D"/>
    <w:rsid w:val="00B8135E"/>
    <w:rsid w:val="00C132FD"/>
    <w:rsid w:val="00C404D0"/>
    <w:rsid w:val="00C51B68"/>
    <w:rsid w:val="00C75559"/>
    <w:rsid w:val="00C84556"/>
    <w:rsid w:val="00C86C74"/>
    <w:rsid w:val="00CA7996"/>
    <w:rsid w:val="00D4455C"/>
    <w:rsid w:val="00D77287"/>
    <w:rsid w:val="00DD585E"/>
    <w:rsid w:val="00DE0D8E"/>
    <w:rsid w:val="00E13D3C"/>
    <w:rsid w:val="00E56581"/>
    <w:rsid w:val="00EA2CBF"/>
    <w:rsid w:val="00EA719F"/>
    <w:rsid w:val="00EC105F"/>
    <w:rsid w:val="00F12550"/>
    <w:rsid w:val="00F62C8B"/>
    <w:rsid w:val="00F65231"/>
    <w:rsid w:val="00F81869"/>
    <w:rsid w:val="00FA6E4F"/>
    <w:rsid w:val="00FB53B6"/>
    <w:rsid w:val="00FB7C0B"/>
    <w:rsid w:val="00FD038B"/>
    <w:rsid w:val="00FE1860"/>
    <w:rsid w:val="00FF5F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9BD86"/>
  <w15:chartTrackingRefBased/>
  <w15:docId w15:val="{4E7AD1A0-87BD-4320-9A79-BC2B2AAF1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670F0"/>
    <w:pPr>
      <w:spacing w:after="200" w:line="276" w:lineRule="auto"/>
    </w:pPr>
  </w:style>
  <w:style w:type="paragraph" w:styleId="Nadpis1">
    <w:name w:val="heading 1"/>
    <w:basedOn w:val="Normln"/>
    <w:next w:val="Normln"/>
    <w:link w:val="Nadpis1Char"/>
    <w:uiPriority w:val="99"/>
    <w:qFormat/>
    <w:rsid w:val="00B2698D"/>
    <w:pPr>
      <w:keepNext/>
      <w:spacing w:before="240" w:after="60" w:line="240" w:lineRule="auto"/>
      <w:jc w:val="both"/>
      <w:outlineLvl w:val="0"/>
    </w:pPr>
    <w:rPr>
      <w:rFonts w:ascii="Cambria" w:eastAsia="Times New Roman" w:hAnsi="Cambria" w:cs="Times New Roman"/>
      <w:b/>
      <w:bCs/>
      <w:kern w:val="32"/>
      <w:sz w:val="32"/>
      <w:szCs w:val="3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99"/>
    <w:qFormat/>
    <w:rsid w:val="004670F0"/>
    <w:pPr>
      <w:ind w:left="720"/>
      <w:contextualSpacing/>
    </w:pPr>
  </w:style>
  <w:style w:type="paragraph" w:styleId="Zhlav">
    <w:name w:val="header"/>
    <w:basedOn w:val="Normln"/>
    <w:link w:val="ZhlavChar"/>
    <w:uiPriority w:val="99"/>
    <w:rsid w:val="004670F0"/>
    <w:pPr>
      <w:tabs>
        <w:tab w:val="center" w:pos="4536"/>
        <w:tab w:val="right" w:pos="9072"/>
      </w:tabs>
      <w:spacing w:after="0" w:line="240" w:lineRule="auto"/>
      <w:jc w:val="both"/>
    </w:pPr>
    <w:rPr>
      <w:rFonts w:ascii="Times New Roman" w:eastAsia="Times New Roman" w:hAnsi="Times New Roman" w:cs="Times New Roman"/>
      <w:sz w:val="24"/>
      <w:szCs w:val="20"/>
      <w:lang w:eastAsia="cs-CZ"/>
    </w:rPr>
  </w:style>
  <w:style w:type="character" w:customStyle="1" w:styleId="ZhlavChar">
    <w:name w:val="Záhlaví Char"/>
    <w:basedOn w:val="Standardnpsmoodstavce"/>
    <w:link w:val="Zhlav"/>
    <w:uiPriority w:val="99"/>
    <w:rsid w:val="004670F0"/>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4670F0"/>
    <w:pPr>
      <w:tabs>
        <w:tab w:val="center" w:pos="4536"/>
        <w:tab w:val="right" w:pos="9072"/>
      </w:tabs>
      <w:spacing w:after="0" w:line="240" w:lineRule="auto"/>
    </w:pPr>
  </w:style>
  <w:style w:type="character" w:customStyle="1" w:styleId="ZpatChar">
    <w:name w:val="Zápatí Char"/>
    <w:basedOn w:val="Standardnpsmoodstavce"/>
    <w:link w:val="Zpat"/>
    <w:uiPriority w:val="99"/>
    <w:rsid w:val="004670F0"/>
  </w:style>
  <w:style w:type="table" w:styleId="Mkatabulky">
    <w:name w:val="Table Grid"/>
    <w:basedOn w:val="Normlntabulka"/>
    <w:uiPriority w:val="99"/>
    <w:rsid w:val="004670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link w:val="Odstavecseseznamem"/>
    <w:uiPriority w:val="99"/>
    <w:rsid w:val="004670F0"/>
  </w:style>
  <w:style w:type="character" w:customStyle="1" w:styleId="Nadpis1Char">
    <w:name w:val="Nadpis 1 Char"/>
    <w:basedOn w:val="Standardnpsmoodstavce"/>
    <w:link w:val="Nadpis1"/>
    <w:uiPriority w:val="99"/>
    <w:rsid w:val="00B2698D"/>
    <w:rPr>
      <w:rFonts w:ascii="Cambria" w:eastAsia="Times New Roman" w:hAnsi="Cambria" w:cs="Times New Roman"/>
      <w:b/>
      <w:bCs/>
      <w:kern w:val="32"/>
      <w:sz w:val="32"/>
      <w:szCs w:val="32"/>
      <w:lang w:eastAsia="cs-CZ"/>
    </w:rPr>
  </w:style>
  <w:style w:type="paragraph" w:customStyle="1" w:styleId="Textodstavce">
    <w:name w:val="Text odstavce"/>
    <w:basedOn w:val="Normln"/>
    <w:uiPriority w:val="99"/>
    <w:rsid w:val="00B2698D"/>
    <w:pPr>
      <w:numPr>
        <w:numId w:val="11"/>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uiPriority w:val="99"/>
    <w:rsid w:val="00B2698D"/>
    <w:pPr>
      <w:numPr>
        <w:ilvl w:val="2"/>
        <w:numId w:val="11"/>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uiPriority w:val="99"/>
    <w:rsid w:val="00B2698D"/>
    <w:pPr>
      <w:numPr>
        <w:ilvl w:val="1"/>
        <w:numId w:val="11"/>
      </w:numPr>
      <w:spacing w:after="0" w:line="240" w:lineRule="auto"/>
      <w:jc w:val="both"/>
      <w:outlineLvl w:val="7"/>
    </w:pPr>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rsid w:val="003224B4"/>
    <w:pPr>
      <w:spacing w:after="0" w:line="240" w:lineRule="auto"/>
      <w:ind w:firstLine="708"/>
      <w:jc w:val="both"/>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rsid w:val="003224B4"/>
    <w:rPr>
      <w:rFonts w:ascii="Times New Roman" w:eastAsia="Times New Roman" w:hAnsi="Times New Roman" w:cs="Times New Roman"/>
      <w:sz w:val="20"/>
      <w:szCs w:val="20"/>
      <w:lang w:eastAsia="cs-CZ"/>
    </w:rPr>
  </w:style>
  <w:style w:type="character" w:styleId="Odkaznakoment">
    <w:name w:val="annotation reference"/>
    <w:rsid w:val="003224B4"/>
    <w:rPr>
      <w:rFonts w:cs="Times New Roman"/>
      <w:sz w:val="16"/>
    </w:rPr>
  </w:style>
  <w:style w:type="paragraph" w:styleId="Normlnweb">
    <w:name w:val="Normal (Web)"/>
    <w:basedOn w:val="Normln"/>
    <w:uiPriority w:val="99"/>
    <w:unhideWhenUsed/>
    <w:rsid w:val="00A623A5"/>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33301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330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30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0D950880F07BF44B2E57B4E5148ED1E" ma:contentTypeVersion="11" ma:contentTypeDescription="Vytvoří nový dokument" ma:contentTypeScope="" ma:versionID="792eab94fb6ce101e2d7c12a6a9b353a">
  <xsd:schema xmlns:xsd="http://www.w3.org/2001/XMLSchema" xmlns:xs="http://www.w3.org/2001/XMLSchema" xmlns:p="http://schemas.microsoft.com/office/2006/metadata/properties" xmlns:ns2="9e88f56c-316d-488a-9fd7-2d0a6ba3a282" xmlns:ns3="0ad023de-2be6-475c-93fc-d9ba6b650da6" targetNamespace="http://schemas.microsoft.com/office/2006/metadata/properties" ma:root="true" ma:fieldsID="538d3c6fa00491cdb99c9af275153c8b" ns2:_="" ns3:_="">
    <xsd:import namespace="9e88f56c-316d-488a-9fd7-2d0a6ba3a282"/>
    <xsd:import namespace="0ad023de-2be6-475c-93fc-d9ba6b650da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88f56c-316d-488a-9fd7-2d0a6ba3a2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d023de-2be6-475c-93fc-d9ba6b650da6"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BCC487-0EFB-41DA-B108-74DEC08D9D40}">
  <ds:schemaRefs>
    <ds:schemaRef ds:uri="http://schemas.openxmlformats.org/officeDocument/2006/bibliography"/>
  </ds:schemaRefs>
</ds:datastoreItem>
</file>

<file path=customXml/itemProps2.xml><?xml version="1.0" encoding="utf-8"?>
<ds:datastoreItem xmlns:ds="http://schemas.openxmlformats.org/officeDocument/2006/customXml" ds:itemID="{8C8B8A62-E75C-4D46-8FDC-EE4E556E5230}"/>
</file>

<file path=customXml/itemProps3.xml><?xml version="1.0" encoding="utf-8"?>
<ds:datastoreItem xmlns:ds="http://schemas.openxmlformats.org/officeDocument/2006/customXml" ds:itemID="{236CC06C-BBC5-4D7A-9C20-1E326015A6E8}"/>
</file>

<file path=customXml/itemProps4.xml><?xml version="1.0" encoding="utf-8"?>
<ds:datastoreItem xmlns:ds="http://schemas.openxmlformats.org/officeDocument/2006/customXml" ds:itemID="{06F55B45-E8B7-4125-A086-1B3CD4E94D17}"/>
</file>

<file path=docProps/app.xml><?xml version="1.0" encoding="utf-8"?>
<Properties xmlns="http://schemas.openxmlformats.org/officeDocument/2006/extended-properties" xmlns:vt="http://schemas.openxmlformats.org/officeDocument/2006/docPropsVTypes">
  <Template>Normal</Template>
  <TotalTime>342</TotalTime>
  <Pages>5</Pages>
  <Words>1982</Words>
  <Characters>11695</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Bártová Eliška Ing. Bc. (VZP ČR Ústředí)</dc:creator>
  <cp:keywords/>
  <dc:description/>
  <cp:lastModifiedBy>Jankůj Miroslav Ing. Ph.D. (VZP ČR Ústředí)</cp:lastModifiedBy>
  <cp:revision>43</cp:revision>
  <cp:lastPrinted>2025-05-29T11:56:00Z</cp:lastPrinted>
  <dcterms:created xsi:type="dcterms:W3CDTF">2021-06-02T11:56:00Z</dcterms:created>
  <dcterms:modified xsi:type="dcterms:W3CDTF">2025-06-17T12:14:00Z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0x01010030D950880F07BF44B2E57B4E5148ED1E</vt:lpwstr>
  </property>
</Properties>
</file>