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98D8E" w14:textId="77777777" w:rsidR="00FE23A1" w:rsidRPr="00345A02" w:rsidRDefault="00FE23A1" w:rsidP="00FE23A1">
      <w:pPr>
        <w:rPr>
          <w:rFonts w:ascii="Times New Roman" w:hAnsi="Times New Roman" w:cs="Times New Roman"/>
        </w:rPr>
      </w:pPr>
    </w:p>
    <w:p w14:paraId="5DDFCCCC" w14:textId="77777777" w:rsidR="00FE23A1" w:rsidRPr="00345A02" w:rsidRDefault="00FE23A1" w:rsidP="00FE23A1">
      <w:pPr>
        <w:rPr>
          <w:rFonts w:ascii="Times New Roman" w:hAnsi="Times New Roman" w:cs="Times New Roman"/>
        </w:rPr>
      </w:pPr>
    </w:p>
    <w:p w14:paraId="0F5FD91D" w14:textId="77777777" w:rsidR="00FE23A1" w:rsidRPr="00345A02" w:rsidRDefault="00FE23A1" w:rsidP="00FE23A1">
      <w:pPr>
        <w:rPr>
          <w:rFonts w:ascii="Times New Roman" w:hAnsi="Times New Roman" w:cs="Times New Roman"/>
        </w:rPr>
      </w:pPr>
    </w:p>
    <w:p w14:paraId="375720EA" w14:textId="77777777" w:rsidR="00FE23A1" w:rsidRPr="00345A02" w:rsidRDefault="00FE23A1" w:rsidP="00FE23A1">
      <w:pPr>
        <w:rPr>
          <w:rFonts w:ascii="Times New Roman" w:hAnsi="Times New Roman" w:cs="Times New Roman"/>
        </w:rPr>
      </w:pPr>
    </w:p>
    <w:p w14:paraId="3CA48C29" w14:textId="77777777" w:rsidR="00FE23A1" w:rsidRPr="00345A02" w:rsidRDefault="00FE23A1" w:rsidP="00FE23A1">
      <w:pPr>
        <w:rPr>
          <w:rFonts w:ascii="Times New Roman" w:hAnsi="Times New Roman" w:cs="Times New Roman"/>
        </w:rPr>
      </w:pPr>
    </w:p>
    <w:p w14:paraId="5122DB04" w14:textId="77777777" w:rsidR="00FE23A1" w:rsidRPr="00345A02" w:rsidRDefault="00FE23A1" w:rsidP="00FE23A1">
      <w:pPr>
        <w:rPr>
          <w:rFonts w:ascii="Times New Roman" w:hAnsi="Times New Roman" w:cs="Times New Roman"/>
        </w:rPr>
      </w:pPr>
    </w:p>
    <w:p w14:paraId="4678221F" w14:textId="77777777" w:rsidR="00FE23A1" w:rsidRPr="00345A02" w:rsidRDefault="00FE23A1" w:rsidP="00FE23A1">
      <w:pPr>
        <w:rPr>
          <w:rFonts w:ascii="Times New Roman" w:hAnsi="Times New Roman" w:cs="Times New Roman"/>
        </w:rPr>
      </w:pPr>
    </w:p>
    <w:p w14:paraId="46EAD8E6" w14:textId="03B00D48" w:rsidR="00501A43" w:rsidRPr="00345A02" w:rsidRDefault="00FE23A1" w:rsidP="00FE23A1">
      <w:pPr>
        <w:jc w:val="center"/>
        <w:rPr>
          <w:rFonts w:ascii="Times New Roman" w:hAnsi="Times New Roman" w:cs="Times New Roman"/>
          <w:sz w:val="28"/>
          <w:szCs w:val="28"/>
        </w:rPr>
      </w:pPr>
      <w:r w:rsidRPr="00345A02">
        <w:rPr>
          <w:rFonts w:ascii="Times New Roman" w:hAnsi="Times New Roman" w:cs="Times New Roman"/>
          <w:sz w:val="28"/>
          <w:szCs w:val="28"/>
        </w:rPr>
        <w:t>NÁVRH AČMN</w:t>
      </w:r>
      <w:r w:rsidR="00966D28">
        <w:rPr>
          <w:rFonts w:ascii="Times New Roman" w:hAnsi="Times New Roman" w:cs="Times New Roman"/>
          <w:sz w:val="28"/>
          <w:szCs w:val="28"/>
        </w:rPr>
        <w:t xml:space="preserve"> + AKN</w:t>
      </w:r>
    </w:p>
    <w:p w14:paraId="6135FF26" w14:textId="77777777" w:rsidR="00FE23A1" w:rsidRPr="00345A02" w:rsidRDefault="00FE23A1" w:rsidP="00FE23A1">
      <w:pPr>
        <w:jc w:val="center"/>
        <w:rPr>
          <w:rFonts w:ascii="Times New Roman" w:hAnsi="Times New Roman" w:cs="Times New Roman"/>
          <w:sz w:val="28"/>
          <w:szCs w:val="28"/>
        </w:rPr>
      </w:pPr>
    </w:p>
    <w:p w14:paraId="260C2082" w14:textId="77777777" w:rsidR="00FE23A1" w:rsidRPr="00345A02" w:rsidRDefault="00FE23A1" w:rsidP="00FE23A1">
      <w:pPr>
        <w:jc w:val="center"/>
        <w:rPr>
          <w:rFonts w:ascii="Times New Roman" w:hAnsi="Times New Roman" w:cs="Times New Roman"/>
          <w:sz w:val="28"/>
          <w:szCs w:val="28"/>
        </w:rPr>
      </w:pPr>
    </w:p>
    <w:p w14:paraId="64A93B39" w14:textId="32908CFD" w:rsidR="00FE23A1" w:rsidRPr="00345A02" w:rsidRDefault="00FE23A1" w:rsidP="00FE23A1">
      <w:pPr>
        <w:jc w:val="center"/>
        <w:rPr>
          <w:rFonts w:ascii="Times New Roman" w:hAnsi="Times New Roman" w:cs="Times New Roman"/>
          <w:sz w:val="28"/>
          <w:szCs w:val="28"/>
        </w:rPr>
      </w:pPr>
      <w:r w:rsidRPr="00345A02">
        <w:rPr>
          <w:rFonts w:ascii="Times New Roman" w:hAnsi="Times New Roman" w:cs="Times New Roman"/>
          <w:sz w:val="28"/>
          <w:szCs w:val="28"/>
        </w:rPr>
        <w:t>ke stanovení hodnot bodu, výše úhrad hrazených služeb a regulačních omezení pro rok 2026 za segment následné lůžkové péče, dlouhodobé lůžkové péče a zvláštní ambulantní péče</w:t>
      </w:r>
    </w:p>
    <w:p w14:paraId="44296FDB" w14:textId="77777777" w:rsidR="000D66A3" w:rsidRPr="00345A02" w:rsidRDefault="000D66A3" w:rsidP="00FE23A1">
      <w:pPr>
        <w:jc w:val="center"/>
        <w:rPr>
          <w:rFonts w:ascii="Times New Roman" w:hAnsi="Times New Roman" w:cs="Times New Roman"/>
          <w:sz w:val="28"/>
          <w:szCs w:val="28"/>
        </w:rPr>
      </w:pPr>
    </w:p>
    <w:p w14:paraId="2C099DD4" w14:textId="77777777" w:rsidR="000D66A3" w:rsidRPr="00345A02" w:rsidRDefault="000D66A3" w:rsidP="00FE23A1">
      <w:pPr>
        <w:jc w:val="center"/>
        <w:rPr>
          <w:rFonts w:ascii="Times New Roman" w:hAnsi="Times New Roman" w:cs="Times New Roman"/>
          <w:sz w:val="28"/>
          <w:szCs w:val="28"/>
        </w:rPr>
      </w:pPr>
    </w:p>
    <w:p w14:paraId="647565F8" w14:textId="77777777" w:rsidR="000D66A3" w:rsidRPr="00345A02" w:rsidRDefault="000D66A3" w:rsidP="00FE23A1">
      <w:pPr>
        <w:jc w:val="center"/>
        <w:rPr>
          <w:rFonts w:ascii="Times New Roman" w:hAnsi="Times New Roman" w:cs="Times New Roman"/>
          <w:sz w:val="28"/>
          <w:szCs w:val="28"/>
        </w:rPr>
      </w:pPr>
    </w:p>
    <w:p w14:paraId="5131937C" w14:textId="77777777" w:rsidR="000D66A3" w:rsidRPr="00345A02" w:rsidRDefault="000D66A3" w:rsidP="00FE23A1">
      <w:pPr>
        <w:jc w:val="center"/>
        <w:rPr>
          <w:rFonts w:ascii="Times New Roman" w:hAnsi="Times New Roman" w:cs="Times New Roman"/>
          <w:sz w:val="28"/>
          <w:szCs w:val="28"/>
        </w:rPr>
      </w:pPr>
    </w:p>
    <w:p w14:paraId="27838A14" w14:textId="77777777" w:rsidR="000D66A3" w:rsidRPr="00345A02" w:rsidRDefault="000D66A3" w:rsidP="00FE23A1">
      <w:pPr>
        <w:jc w:val="center"/>
        <w:rPr>
          <w:rFonts w:ascii="Times New Roman" w:hAnsi="Times New Roman" w:cs="Times New Roman"/>
          <w:sz w:val="28"/>
          <w:szCs w:val="28"/>
        </w:rPr>
      </w:pPr>
    </w:p>
    <w:p w14:paraId="5E414562" w14:textId="77777777" w:rsidR="000D66A3" w:rsidRPr="00345A02" w:rsidRDefault="000D66A3" w:rsidP="00FE23A1">
      <w:pPr>
        <w:jc w:val="center"/>
        <w:rPr>
          <w:rFonts w:ascii="Times New Roman" w:hAnsi="Times New Roman" w:cs="Times New Roman"/>
          <w:sz w:val="28"/>
          <w:szCs w:val="28"/>
        </w:rPr>
      </w:pPr>
    </w:p>
    <w:p w14:paraId="382021A7" w14:textId="77777777" w:rsidR="000D66A3" w:rsidRPr="00345A02" w:rsidRDefault="000D66A3" w:rsidP="00FE23A1">
      <w:pPr>
        <w:jc w:val="center"/>
        <w:rPr>
          <w:rFonts w:ascii="Times New Roman" w:hAnsi="Times New Roman" w:cs="Times New Roman"/>
          <w:sz w:val="28"/>
          <w:szCs w:val="28"/>
        </w:rPr>
      </w:pPr>
    </w:p>
    <w:p w14:paraId="7E9FE292" w14:textId="77777777" w:rsidR="000D66A3" w:rsidRPr="00345A02" w:rsidRDefault="000D66A3" w:rsidP="00FE23A1">
      <w:pPr>
        <w:jc w:val="center"/>
        <w:rPr>
          <w:rFonts w:ascii="Times New Roman" w:hAnsi="Times New Roman" w:cs="Times New Roman"/>
          <w:sz w:val="28"/>
          <w:szCs w:val="28"/>
        </w:rPr>
      </w:pPr>
    </w:p>
    <w:p w14:paraId="34C16B58" w14:textId="77777777" w:rsidR="000D66A3" w:rsidRPr="00345A02" w:rsidRDefault="000D66A3" w:rsidP="00FE23A1">
      <w:pPr>
        <w:jc w:val="center"/>
        <w:rPr>
          <w:rFonts w:ascii="Times New Roman" w:hAnsi="Times New Roman" w:cs="Times New Roman"/>
          <w:sz w:val="28"/>
          <w:szCs w:val="28"/>
        </w:rPr>
      </w:pPr>
    </w:p>
    <w:p w14:paraId="5CBC4B6A" w14:textId="77777777" w:rsidR="000D66A3" w:rsidRPr="00345A02" w:rsidRDefault="000D66A3" w:rsidP="00FE23A1">
      <w:pPr>
        <w:jc w:val="center"/>
        <w:rPr>
          <w:rFonts w:ascii="Times New Roman" w:hAnsi="Times New Roman" w:cs="Times New Roman"/>
          <w:sz w:val="28"/>
          <w:szCs w:val="28"/>
        </w:rPr>
      </w:pPr>
    </w:p>
    <w:p w14:paraId="0303FBD9" w14:textId="77777777" w:rsidR="000D66A3" w:rsidRPr="00345A02" w:rsidRDefault="000D66A3" w:rsidP="00FE23A1">
      <w:pPr>
        <w:jc w:val="center"/>
        <w:rPr>
          <w:rFonts w:ascii="Times New Roman" w:hAnsi="Times New Roman" w:cs="Times New Roman"/>
          <w:sz w:val="28"/>
          <w:szCs w:val="28"/>
        </w:rPr>
      </w:pPr>
    </w:p>
    <w:p w14:paraId="46BD76EC" w14:textId="77777777" w:rsidR="000D66A3" w:rsidRPr="00345A02" w:rsidRDefault="000D66A3" w:rsidP="000D66A3">
      <w:pPr>
        <w:jc w:val="both"/>
        <w:rPr>
          <w:rFonts w:ascii="Times New Roman" w:hAnsi="Times New Roman" w:cs="Times New Roman"/>
          <w:sz w:val="28"/>
          <w:szCs w:val="28"/>
        </w:rPr>
      </w:pPr>
    </w:p>
    <w:p w14:paraId="186E5D0D" w14:textId="77777777" w:rsidR="000D66A3" w:rsidRPr="00345A02" w:rsidRDefault="000D66A3" w:rsidP="000D66A3">
      <w:pPr>
        <w:jc w:val="both"/>
        <w:rPr>
          <w:rFonts w:ascii="Times New Roman" w:hAnsi="Times New Roman" w:cs="Times New Roman"/>
          <w:sz w:val="28"/>
          <w:szCs w:val="28"/>
        </w:rPr>
      </w:pPr>
    </w:p>
    <w:p w14:paraId="2B012AAE" w14:textId="4D3D16CF" w:rsidR="000D66A3" w:rsidRPr="00345A02" w:rsidRDefault="000D66A3" w:rsidP="000D66A3">
      <w:pPr>
        <w:jc w:val="right"/>
        <w:rPr>
          <w:rFonts w:ascii="Times New Roman" w:hAnsi="Times New Roman" w:cs="Times New Roman"/>
          <w:sz w:val="28"/>
          <w:szCs w:val="28"/>
        </w:rPr>
      </w:pPr>
      <w:r w:rsidRPr="00345A02">
        <w:rPr>
          <w:rFonts w:ascii="Times New Roman" w:hAnsi="Times New Roman" w:cs="Times New Roman"/>
          <w:sz w:val="28"/>
          <w:szCs w:val="28"/>
        </w:rPr>
        <w:t>28. 5. 2025</w:t>
      </w:r>
    </w:p>
    <w:p w14:paraId="717EED88" w14:textId="42866646" w:rsidR="00F77CDF" w:rsidRPr="00F77CDF" w:rsidRDefault="00F77CDF" w:rsidP="00F77CDF">
      <w:pPr>
        <w:rPr>
          <w:rFonts w:ascii="Times New Roman" w:hAnsi="Times New Roman" w:cs="Times New Roman"/>
        </w:rPr>
      </w:pPr>
      <w:r w:rsidRPr="00345A02">
        <w:rPr>
          <w:rFonts w:ascii="Times New Roman" w:hAnsi="Times New Roman" w:cs="Times New Roman"/>
          <w:sz w:val="28"/>
          <w:szCs w:val="28"/>
        </w:rPr>
        <w:br w:type="column"/>
      </w:r>
      <w:r w:rsidRPr="00253D0F">
        <w:rPr>
          <w:rFonts w:ascii="Times New Roman" w:hAnsi="Times New Roman" w:cs="Times New Roman"/>
          <w:b/>
          <w:bCs/>
        </w:rPr>
        <w:lastRenderedPageBreak/>
        <w:t>1. Úhrada následné lůžkové péče, dlouhodobé lůžkové péče, sociálně-zdravotní lůžkové péče a zvláštní lůžkové péče hospicového typu podle § 22a zákona</w:t>
      </w:r>
    </w:p>
    <w:p w14:paraId="43D2571F" w14:textId="77777777" w:rsidR="00F77CDF" w:rsidRPr="00253D0F" w:rsidRDefault="00F77CDF" w:rsidP="00F77CDF">
      <w:pPr>
        <w:pStyle w:val="Odstavecseseznamem"/>
        <w:numPr>
          <w:ilvl w:val="0"/>
          <w:numId w:val="3"/>
        </w:numPr>
        <w:rPr>
          <w:rFonts w:ascii="Times New Roman" w:hAnsi="Times New Roman" w:cs="Times New Roman"/>
        </w:rPr>
      </w:pPr>
      <w:r w:rsidRPr="00253D0F">
        <w:rPr>
          <w:rFonts w:ascii="Times New Roman" w:hAnsi="Times New Roman" w:cs="Times New Roman"/>
        </w:rPr>
        <w:t>Paušální sazba za 1 den hospitalizace se stanoví pro každou kategorii pacienta a typ ošetřovacího dne samostatně a zahrnuje hodnotu příslušného OD včetně režie přiřazené k ošetřovacímu dni a kategorie pacienta podle seznamu výkonů, paušální částku, kterou se hradí léčivé přípravky podle § 17 odst. 6 zákona s výjimkou léčivých přípravků podle písmene l), výkony, kterými se vykazuje příjmové a propouštěcí vyšetření, a výkony agregované do ošetřovacího dne podle seznamu výkonů.</w:t>
      </w:r>
    </w:p>
    <w:p w14:paraId="3C0F0C97" w14:textId="77777777" w:rsidR="00F77CDF" w:rsidRDefault="00F77CDF" w:rsidP="00F77CDF">
      <w:pPr>
        <w:pStyle w:val="Odstavecseseznamem"/>
        <w:numPr>
          <w:ilvl w:val="0"/>
          <w:numId w:val="3"/>
        </w:numPr>
        <w:rPr>
          <w:rFonts w:ascii="Times New Roman" w:hAnsi="Times New Roman" w:cs="Times New Roman"/>
        </w:rPr>
      </w:pPr>
      <w:r w:rsidRPr="00253D0F">
        <w:rPr>
          <w:rFonts w:ascii="Times New Roman" w:hAnsi="Times New Roman" w:cs="Times New Roman"/>
        </w:rPr>
        <w:t xml:space="preserve">Výše paušální sazby za 1 den hospitalizace, s výjimkou dnů hospitalizace OD 00031, 00032, 00037, 00090, 00091, 00098 a 00099, se v hodnoceném období stanoví ve výši: </w:t>
      </w:r>
    </w:p>
    <w:p w14:paraId="0081DCDD" w14:textId="77777777" w:rsidR="00966D28" w:rsidRPr="00253D0F" w:rsidRDefault="00966D28" w:rsidP="00966D28">
      <w:pPr>
        <w:pStyle w:val="Odstavecseseznamem"/>
        <w:rPr>
          <w:rFonts w:ascii="Times New Roman" w:hAnsi="Times New Roman" w:cs="Times New Roman"/>
        </w:rPr>
      </w:pPr>
    </w:p>
    <w:p w14:paraId="791DAD5D" w14:textId="1AB41FA5" w:rsidR="00930BFB" w:rsidRDefault="00930BFB" w:rsidP="00930BFB">
      <w:pPr>
        <w:pStyle w:val="Odstavecseseznamem"/>
        <w:jc w:val="center"/>
        <w:rPr>
          <w:rFonts w:ascii="Cambria Math" w:hAnsi="Cambria Math" w:cs="Cambria Math"/>
        </w:rPr>
      </w:pPr>
      <w:r>
        <w:rPr>
          <w:rFonts w:ascii="Cambria Math" w:hAnsi="Cambria Math" w:cs="Cambria Math"/>
        </w:rPr>
        <w:t>𝑃𝑆</w:t>
      </w:r>
      <w:r>
        <w:rPr>
          <w:rFonts w:ascii="Cambria Math" w:hAnsi="Cambria Math" w:cs="Cambria Math"/>
          <w:sz w:val="16"/>
          <w:szCs w:val="16"/>
        </w:rPr>
        <w:t>𝑂𝐷</w:t>
      </w:r>
      <w:r>
        <w:rPr>
          <w:sz w:val="16"/>
          <w:szCs w:val="16"/>
        </w:rPr>
        <w:t>,202</w:t>
      </w:r>
      <w:r w:rsidR="00365C77">
        <w:rPr>
          <w:sz w:val="16"/>
          <w:szCs w:val="16"/>
        </w:rPr>
        <w:t xml:space="preserve">6 </w:t>
      </w:r>
      <w:r>
        <w:t>=</w:t>
      </w:r>
      <w:r w:rsidR="00365C77">
        <w:t xml:space="preserve"> </w:t>
      </w:r>
      <w:r w:rsidR="00365C77">
        <w:rPr>
          <w:rFonts w:ascii="Cambria Math" w:hAnsi="Cambria Math" w:cs="Cambria Math"/>
        </w:rPr>
        <w:t>𝑃𝑆</w:t>
      </w:r>
      <w:r w:rsidR="00365C77">
        <w:rPr>
          <w:rFonts w:ascii="Cambria Math" w:hAnsi="Cambria Math" w:cs="Cambria Math"/>
          <w:sz w:val="16"/>
          <w:szCs w:val="16"/>
        </w:rPr>
        <w:t>𝑂𝐷</w:t>
      </w:r>
      <w:r w:rsidR="00365C77">
        <w:rPr>
          <w:sz w:val="16"/>
          <w:szCs w:val="16"/>
        </w:rPr>
        <w:t>,2025</w:t>
      </w:r>
      <w:r w:rsidR="00365C77">
        <w:t xml:space="preserve"> </w:t>
      </w:r>
      <w:r w:rsidR="00365C77">
        <w:rPr>
          <w:rFonts w:ascii="Cambria Math" w:hAnsi="Cambria Math" w:cs="Cambria Math"/>
        </w:rPr>
        <w:t>∗</w:t>
      </w:r>
      <w:r w:rsidR="00E1216F">
        <w:rPr>
          <w:rFonts w:ascii="Cambria Math" w:hAnsi="Cambria Math" w:cs="Cambria Math"/>
        </w:rPr>
        <w:t xml:space="preserve"> </w:t>
      </w:r>
      <w:r w:rsidR="00365C77">
        <w:t>(1</w:t>
      </w:r>
      <w:r w:rsidR="00E1216F">
        <w:t xml:space="preserve"> </w:t>
      </w:r>
      <w:r w:rsidR="00365C77">
        <w:t>+</w:t>
      </w:r>
      <w:r w:rsidR="00E1216F">
        <w:t xml:space="preserve"> </w:t>
      </w:r>
      <w:r w:rsidR="00365C77">
        <w:rPr>
          <w:rFonts w:ascii="Cambria Math" w:hAnsi="Cambria Math" w:cs="Cambria Math"/>
        </w:rPr>
        <w:t>𝐾𝑁</w:t>
      </w:r>
      <w:r w:rsidR="00365C77">
        <w:t>) + 300</w:t>
      </w:r>
    </w:p>
    <w:p w14:paraId="374C73F2" w14:textId="4F40843B" w:rsidR="00F77CDF" w:rsidRPr="00253D0F" w:rsidRDefault="00F77CDF" w:rsidP="00F77CDF">
      <w:pPr>
        <w:pStyle w:val="Odstavecseseznamem"/>
        <w:rPr>
          <w:rFonts w:ascii="Times New Roman" w:hAnsi="Times New Roman" w:cs="Times New Roman"/>
        </w:rPr>
      </w:pPr>
      <w:r w:rsidRPr="00253D0F">
        <w:rPr>
          <w:rFonts w:ascii="Times New Roman" w:hAnsi="Times New Roman" w:cs="Times New Roman"/>
        </w:rPr>
        <w:t xml:space="preserve">kde: </w:t>
      </w:r>
    </w:p>
    <w:p w14:paraId="75EAF5B4" w14:textId="69A16DAF" w:rsidR="00F77CDF" w:rsidRPr="00253D0F" w:rsidRDefault="00930BFB" w:rsidP="00F77CDF">
      <w:pPr>
        <w:pStyle w:val="Odstavecseseznamem"/>
        <w:rPr>
          <w:rFonts w:ascii="Times New Roman" w:hAnsi="Times New Roman" w:cs="Times New Roman"/>
        </w:rPr>
      </w:pPr>
      <w:r>
        <w:rPr>
          <w:rFonts w:ascii="Cambria Math" w:hAnsi="Cambria Math" w:cs="Cambria Math"/>
          <w:sz w:val="23"/>
          <w:szCs w:val="23"/>
        </w:rPr>
        <w:t>𝑃𝑆</w:t>
      </w:r>
      <w:r>
        <w:rPr>
          <w:rFonts w:ascii="Cambria Math" w:hAnsi="Cambria Math" w:cs="Cambria Math"/>
          <w:sz w:val="17"/>
          <w:szCs w:val="17"/>
        </w:rPr>
        <w:t>𝑂𝐷</w:t>
      </w:r>
      <w:r>
        <w:rPr>
          <w:sz w:val="17"/>
          <w:szCs w:val="17"/>
        </w:rPr>
        <w:t>,202</w:t>
      </w:r>
      <w:r w:rsidR="00945DFF">
        <w:rPr>
          <w:sz w:val="17"/>
          <w:szCs w:val="17"/>
        </w:rPr>
        <w:t>5</w:t>
      </w:r>
      <w:r>
        <w:rPr>
          <w:sz w:val="17"/>
          <w:szCs w:val="17"/>
        </w:rPr>
        <w:t xml:space="preserve"> </w:t>
      </w:r>
      <w:r w:rsidR="00F77CDF" w:rsidRPr="00253D0F">
        <w:rPr>
          <w:rFonts w:ascii="Times New Roman" w:hAnsi="Times New Roman" w:cs="Times New Roman"/>
        </w:rPr>
        <w:t>je paušální sazba za 1 den hospitalizace v roce 202</w:t>
      </w:r>
      <w:r w:rsidR="00945DFF">
        <w:rPr>
          <w:rFonts w:ascii="Times New Roman" w:hAnsi="Times New Roman" w:cs="Times New Roman"/>
        </w:rPr>
        <w:t>5</w:t>
      </w:r>
      <w:r w:rsidR="00F77CDF" w:rsidRPr="00253D0F">
        <w:rPr>
          <w:rFonts w:ascii="Times New Roman" w:hAnsi="Times New Roman" w:cs="Times New Roman"/>
        </w:rPr>
        <w:t xml:space="preserve"> bez navýšení úhrady plynoucího z plnění smluvních kvalitativních kritérií a z plnění kritérií odpovídajících v roce 202</w:t>
      </w:r>
      <w:r w:rsidR="007C32D9">
        <w:rPr>
          <w:rFonts w:ascii="Times New Roman" w:hAnsi="Times New Roman" w:cs="Times New Roman"/>
        </w:rPr>
        <w:t>5</w:t>
      </w:r>
      <w:r w:rsidR="00F77CDF" w:rsidRPr="00253D0F">
        <w:rPr>
          <w:rFonts w:ascii="Times New Roman" w:hAnsi="Times New Roman" w:cs="Times New Roman"/>
        </w:rPr>
        <w:t xml:space="preserve"> kritériím podle písmen c), d), e) </w:t>
      </w:r>
      <w:proofErr w:type="spellStart"/>
      <w:r w:rsidR="00F77CDF" w:rsidRPr="00253D0F">
        <w:rPr>
          <w:rFonts w:ascii="Times New Roman" w:hAnsi="Times New Roman" w:cs="Times New Roman"/>
        </w:rPr>
        <w:t>podbodů</w:t>
      </w:r>
      <w:proofErr w:type="spellEnd"/>
      <w:r w:rsidR="00F77CDF" w:rsidRPr="00253D0F">
        <w:rPr>
          <w:rFonts w:ascii="Times New Roman" w:hAnsi="Times New Roman" w:cs="Times New Roman"/>
        </w:rPr>
        <w:t xml:space="preserve"> </w:t>
      </w:r>
      <w:proofErr w:type="spellStart"/>
      <w:r w:rsidR="00F77CDF" w:rsidRPr="00253D0F">
        <w:rPr>
          <w:rFonts w:ascii="Times New Roman" w:hAnsi="Times New Roman" w:cs="Times New Roman"/>
        </w:rPr>
        <w:t>ii</w:t>
      </w:r>
      <w:proofErr w:type="spellEnd"/>
      <w:r w:rsidR="00F77CDF" w:rsidRPr="00253D0F">
        <w:rPr>
          <w:rFonts w:ascii="Times New Roman" w:hAnsi="Times New Roman" w:cs="Times New Roman"/>
        </w:rPr>
        <w:t xml:space="preserve">. až v. a písmene g), pokud byla stanovena. </w:t>
      </w:r>
    </w:p>
    <w:p w14:paraId="10363C9F" w14:textId="5EF117D2" w:rsidR="00F77CDF" w:rsidRPr="00253D0F" w:rsidRDefault="00930BFB" w:rsidP="00F77CDF">
      <w:pPr>
        <w:pStyle w:val="Odstavecseseznamem"/>
        <w:rPr>
          <w:rFonts w:ascii="Times New Roman" w:hAnsi="Times New Roman" w:cs="Times New Roman"/>
        </w:rPr>
      </w:pPr>
      <w:r>
        <w:rPr>
          <w:sz w:val="23"/>
          <w:szCs w:val="23"/>
        </w:rPr>
        <w:t xml:space="preserve">KN </w:t>
      </w:r>
      <w:r w:rsidR="00F77CDF" w:rsidRPr="00253D0F">
        <w:rPr>
          <w:rFonts w:ascii="Times New Roman" w:hAnsi="Times New Roman" w:cs="Times New Roman"/>
        </w:rPr>
        <w:t xml:space="preserve"> je koeficient navýšení, který se stanoví součtem hodnot navýšení podle kritérií stanovených v písmenech c) až g).</w:t>
      </w:r>
    </w:p>
    <w:p w14:paraId="09A6D6AD" w14:textId="163DC0BA" w:rsidR="00F77CDF" w:rsidRPr="00253D0F" w:rsidRDefault="00F77CDF" w:rsidP="00F77CDF">
      <w:pPr>
        <w:pStyle w:val="Odstavecseseznamem"/>
        <w:numPr>
          <w:ilvl w:val="0"/>
          <w:numId w:val="3"/>
        </w:numPr>
        <w:rPr>
          <w:rFonts w:ascii="Times New Roman" w:hAnsi="Times New Roman" w:cs="Times New Roman"/>
        </w:rPr>
      </w:pPr>
      <w:r w:rsidRPr="00253D0F">
        <w:rPr>
          <w:rFonts w:ascii="Times New Roman" w:hAnsi="Times New Roman" w:cs="Times New Roman"/>
        </w:rPr>
        <w:t>KN se navýší o 0,00</w:t>
      </w:r>
      <w:r w:rsidR="00945DFF">
        <w:rPr>
          <w:rFonts w:ascii="Times New Roman" w:hAnsi="Times New Roman" w:cs="Times New Roman"/>
        </w:rPr>
        <w:t>4</w:t>
      </w:r>
      <w:r w:rsidRPr="00253D0F">
        <w:rPr>
          <w:rFonts w:ascii="Times New Roman" w:hAnsi="Times New Roman" w:cs="Times New Roman"/>
        </w:rPr>
        <w:t xml:space="preserve"> pro daný typ OD za každé kritérium, které poskytovatel v hodnoceném období splňuje, zdravotní pojišťovna vyhodnotí plnění kritérií po skončení hodnoceného období:</w:t>
      </w:r>
    </w:p>
    <w:p w14:paraId="6AE602D4" w14:textId="77777777" w:rsidR="00F77CDF" w:rsidRPr="00253D0F" w:rsidRDefault="00F77CDF" w:rsidP="00F77CDF">
      <w:pPr>
        <w:pStyle w:val="Odstavecseseznamem"/>
        <w:numPr>
          <w:ilvl w:val="1"/>
          <w:numId w:val="3"/>
        </w:numPr>
        <w:rPr>
          <w:rFonts w:ascii="Times New Roman" w:hAnsi="Times New Roman" w:cs="Times New Roman"/>
        </w:rPr>
      </w:pPr>
      <w:r w:rsidRPr="00253D0F">
        <w:rPr>
          <w:rFonts w:ascii="Times New Roman" w:hAnsi="Times New Roman" w:cs="Times New Roman"/>
        </w:rPr>
        <w:t>Personální zabezpečení (vztaženo k úvazku na sledovaném pracovišti):</w:t>
      </w:r>
    </w:p>
    <w:p w14:paraId="4077D3A9" w14:textId="77777777" w:rsidR="00F77CDF" w:rsidRPr="00253D0F" w:rsidRDefault="00F77CDF" w:rsidP="00F77CDF">
      <w:pPr>
        <w:pStyle w:val="Odstavecseseznamem"/>
        <w:numPr>
          <w:ilvl w:val="2"/>
          <w:numId w:val="3"/>
        </w:numPr>
        <w:rPr>
          <w:rFonts w:ascii="Times New Roman" w:hAnsi="Times New Roman" w:cs="Times New Roman"/>
        </w:rPr>
      </w:pPr>
      <w:r w:rsidRPr="00253D0F">
        <w:rPr>
          <w:rFonts w:ascii="Times New Roman" w:hAnsi="Times New Roman" w:cs="Times New Roman"/>
        </w:rPr>
        <w:t xml:space="preserve">Sestra specialistka na hojení ran – průměrně alespoň 0,4 úvazku na 120 lůžek pro OD 00005, 00022, 00023, 00024, 00030 a 00037, </w:t>
      </w:r>
    </w:p>
    <w:p w14:paraId="59C3616B" w14:textId="77777777" w:rsidR="0047091E" w:rsidRPr="00253D0F" w:rsidRDefault="00F77CDF" w:rsidP="0047091E">
      <w:pPr>
        <w:pStyle w:val="Odstavecseseznamem"/>
        <w:numPr>
          <w:ilvl w:val="2"/>
          <w:numId w:val="3"/>
        </w:numPr>
        <w:rPr>
          <w:rFonts w:ascii="Times New Roman" w:hAnsi="Times New Roman" w:cs="Times New Roman"/>
        </w:rPr>
      </w:pPr>
      <w:r w:rsidRPr="00253D0F">
        <w:rPr>
          <w:rFonts w:ascii="Times New Roman" w:hAnsi="Times New Roman" w:cs="Times New Roman"/>
        </w:rPr>
        <w:t xml:space="preserve">Nutriční terapeut – průměrně alespoň 0,4 úvazku na 120 lůžek pro OD 00005, 00022, 00024, 00027, 00028, 00030 a 00037, </w:t>
      </w:r>
    </w:p>
    <w:p w14:paraId="7AF3109B" w14:textId="77777777" w:rsidR="0047091E" w:rsidRPr="00253D0F" w:rsidRDefault="00F77CDF" w:rsidP="0047091E">
      <w:pPr>
        <w:pStyle w:val="Odstavecseseznamem"/>
        <w:numPr>
          <w:ilvl w:val="2"/>
          <w:numId w:val="3"/>
        </w:numPr>
        <w:rPr>
          <w:rFonts w:ascii="Times New Roman" w:hAnsi="Times New Roman" w:cs="Times New Roman"/>
        </w:rPr>
      </w:pPr>
      <w:r w:rsidRPr="00253D0F">
        <w:rPr>
          <w:rFonts w:ascii="Times New Roman" w:hAnsi="Times New Roman" w:cs="Times New Roman"/>
        </w:rPr>
        <w:t xml:space="preserve">Ergoterapeut – průměrně alespoň 1 úvazek na 120 lůžek, pro OD 00005, 00024, 00030 a 00037, </w:t>
      </w:r>
    </w:p>
    <w:p w14:paraId="3F54B827" w14:textId="77777777" w:rsidR="0047091E" w:rsidRPr="00253D0F" w:rsidRDefault="00F77CDF" w:rsidP="0047091E">
      <w:pPr>
        <w:pStyle w:val="Odstavecseseznamem"/>
        <w:numPr>
          <w:ilvl w:val="2"/>
          <w:numId w:val="3"/>
        </w:numPr>
        <w:rPr>
          <w:rFonts w:ascii="Times New Roman" w:hAnsi="Times New Roman" w:cs="Times New Roman"/>
        </w:rPr>
      </w:pPr>
      <w:r w:rsidRPr="00253D0F">
        <w:rPr>
          <w:rFonts w:ascii="Times New Roman" w:hAnsi="Times New Roman" w:cs="Times New Roman"/>
        </w:rPr>
        <w:t xml:space="preserve">Logoped – průměrně alespoň 1 úvazek na 120 lůžek pro OD 00024, </w:t>
      </w:r>
    </w:p>
    <w:p w14:paraId="2571D42E" w14:textId="77777777" w:rsidR="0047091E" w:rsidRPr="00253D0F" w:rsidRDefault="00F77CDF" w:rsidP="0047091E">
      <w:pPr>
        <w:pStyle w:val="Odstavecseseznamem"/>
        <w:numPr>
          <w:ilvl w:val="2"/>
          <w:numId w:val="3"/>
        </w:numPr>
        <w:rPr>
          <w:rFonts w:ascii="Times New Roman" w:hAnsi="Times New Roman" w:cs="Times New Roman"/>
        </w:rPr>
      </w:pPr>
      <w:r w:rsidRPr="00253D0F">
        <w:rPr>
          <w:rFonts w:ascii="Times New Roman" w:hAnsi="Times New Roman" w:cs="Times New Roman"/>
        </w:rPr>
        <w:t xml:space="preserve">Psycholog ve zdravotnictví – průměrně alespoň 0,4 úvazku na 120 lůžek pro OD 00005, 00022, 00024, 00030 a 00037. </w:t>
      </w:r>
    </w:p>
    <w:p w14:paraId="75C3796E" w14:textId="77777777" w:rsidR="0047091E" w:rsidRPr="00253D0F" w:rsidRDefault="00F77CDF" w:rsidP="0047091E">
      <w:pPr>
        <w:pStyle w:val="Odstavecseseznamem"/>
        <w:numPr>
          <w:ilvl w:val="1"/>
          <w:numId w:val="3"/>
        </w:numPr>
        <w:rPr>
          <w:rFonts w:ascii="Times New Roman" w:hAnsi="Times New Roman" w:cs="Times New Roman"/>
        </w:rPr>
      </w:pPr>
      <w:r w:rsidRPr="00253D0F">
        <w:rPr>
          <w:rFonts w:ascii="Times New Roman" w:hAnsi="Times New Roman" w:cs="Times New Roman"/>
        </w:rPr>
        <w:t>Technické vybavení:</w:t>
      </w:r>
    </w:p>
    <w:p w14:paraId="08758480" w14:textId="77777777" w:rsidR="0047091E" w:rsidRPr="00253D0F" w:rsidRDefault="00F77CDF" w:rsidP="0047091E">
      <w:pPr>
        <w:pStyle w:val="Odstavecseseznamem"/>
        <w:numPr>
          <w:ilvl w:val="2"/>
          <w:numId w:val="3"/>
        </w:numPr>
        <w:rPr>
          <w:rFonts w:ascii="Times New Roman" w:hAnsi="Times New Roman" w:cs="Times New Roman"/>
        </w:rPr>
      </w:pPr>
      <w:r w:rsidRPr="00253D0F">
        <w:rPr>
          <w:rFonts w:ascii="Times New Roman" w:hAnsi="Times New Roman" w:cs="Times New Roman"/>
        </w:rPr>
        <w:t xml:space="preserve">Průměrný počet lůžek na pokoji – nejvýše 2,5 lůžka na pokoj u OD 00005, 00022, 00023, 00024, 00030 a 00037, </w:t>
      </w:r>
    </w:p>
    <w:p w14:paraId="7450F8F0" w14:textId="6BD04A20" w:rsidR="00F77CDF" w:rsidRPr="00253D0F" w:rsidRDefault="00F77CDF" w:rsidP="0047091E">
      <w:pPr>
        <w:pStyle w:val="Odstavecseseznamem"/>
        <w:numPr>
          <w:ilvl w:val="2"/>
          <w:numId w:val="3"/>
        </w:numPr>
        <w:rPr>
          <w:rFonts w:ascii="Times New Roman" w:hAnsi="Times New Roman" w:cs="Times New Roman"/>
        </w:rPr>
      </w:pPr>
      <w:r w:rsidRPr="00253D0F">
        <w:rPr>
          <w:rFonts w:ascii="Times New Roman" w:hAnsi="Times New Roman" w:cs="Times New Roman"/>
        </w:rPr>
        <w:t xml:space="preserve">Vybavení oddělení elektricky polohovatelnými lůžky – alespoň 75 % elektricky polohovatelných lůžek doložených protokolem o bezpečnostně technické kontrole u OD 00005, 00022, 00023, 00024, 00030 a 00037. </w:t>
      </w:r>
    </w:p>
    <w:p w14:paraId="54BE7C12" w14:textId="094DFDCA" w:rsidR="00012D34" w:rsidRDefault="0047091E" w:rsidP="00012D34">
      <w:pPr>
        <w:pStyle w:val="Odstavecseseznamem"/>
        <w:numPr>
          <w:ilvl w:val="0"/>
          <w:numId w:val="3"/>
        </w:numPr>
        <w:rPr>
          <w:rFonts w:ascii="Times New Roman" w:hAnsi="Times New Roman" w:cs="Times New Roman"/>
        </w:rPr>
      </w:pPr>
      <w:r w:rsidRPr="0047091E">
        <w:rPr>
          <w:rFonts w:ascii="Times New Roman" w:hAnsi="Times New Roman" w:cs="Times New Roman"/>
        </w:rPr>
        <w:t>U poskytovatele, kterému byl Ministerstvem zdravotnictví schválen transformační plán v rámci reformy psychiatrické péče, se KN pro OD 00021 a OD 00026 dále navýší o následující výraz:</w:t>
      </w:r>
    </w:p>
    <w:p w14:paraId="0161D24B" w14:textId="56DC160F" w:rsidR="00930BFB" w:rsidRPr="00253D0F" w:rsidRDefault="00930BFB" w:rsidP="00930BFB">
      <w:pPr>
        <w:pStyle w:val="Odstavecseseznamem"/>
        <w:jc w:val="center"/>
        <w:rPr>
          <w:rFonts w:ascii="Times New Roman" w:hAnsi="Times New Roman" w:cs="Times New Roman"/>
        </w:rPr>
      </w:pPr>
      <w:r>
        <w:t>0,35</w:t>
      </w:r>
      <w:r>
        <w:rPr>
          <w:rFonts w:ascii="Cambria Math" w:hAnsi="Cambria Math" w:cs="Cambria Math"/>
        </w:rPr>
        <w:t>∗𝐾</w:t>
      </w:r>
      <w:r>
        <w:rPr>
          <w:rFonts w:ascii="Cambria Math" w:hAnsi="Cambria Math" w:cs="Cambria Math"/>
          <w:sz w:val="16"/>
          <w:szCs w:val="16"/>
        </w:rPr>
        <w:t>𝑇𝑟𝑎𝑛𝑠𝑁𝐿𝑃</w:t>
      </w:r>
      <w:r>
        <w:t xml:space="preserve">+ </w:t>
      </w:r>
      <w:r>
        <w:rPr>
          <w:rFonts w:ascii="Cambria Math" w:hAnsi="Cambria Math" w:cs="Cambria Math"/>
        </w:rPr>
        <w:t>𝐵𝑂𝑁</w:t>
      </w:r>
      <w:r>
        <w:rPr>
          <w:rFonts w:ascii="Cambria Math" w:hAnsi="Cambria Math" w:cs="Cambria Math"/>
          <w:sz w:val="16"/>
          <w:szCs w:val="16"/>
        </w:rPr>
        <w:t>𝐴𝑘𝑟𝑒𝑑𝑖𝑡𝑎𝑐𝑒</w:t>
      </w:r>
    </w:p>
    <w:p w14:paraId="7C0F5C71" w14:textId="3F7DB611" w:rsidR="00012D34" w:rsidRPr="00012D34" w:rsidRDefault="00012D34" w:rsidP="00012D34">
      <w:pPr>
        <w:pStyle w:val="Odstavecseseznamem"/>
        <w:rPr>
          <w:rFonts w:ascii="Times New Roman" w:hAnsi="Times New Roman" w:cs="Times New Roman"/>
        </w:rPr>
      </w:pPr>
      <w:r w:rsidRPr="00012D34">
        <w:rPr>
          <w:rFonts w:ascii="Times New Roman" w:hAnsi="Times New Roman" w:cs="Times New Roman"/>
        </w:rPr>
        <w:t xml:space="preserve">kde: </w:t>
      </w:r>
    </w:p>
    <w:p w14:paraId="745A5D6D" w14:textId="316A7FB1" w:rsidR="00012D34" w:rsidRPr="00012D34" w:rsidRDefault="009279CD" w:rsidP="00012D34">
      <w:pPr>
        <w:pStyle w:val="Odstavecseseznamem"/>
        <w:rPr>
          <w:rFonts w:ascii="Times New Roman" w:hAnsi="Times New Roman" w:cs="Times New Roman"/>
        </w:rPr>
      </w:pPr>
      <w:r>
        <w:rPr>
          <w:rFonts w:ascii="Cambria Math" w:hAnsi="Cambria Math" w:cs="Cambria Math"/>
          <w:sz w:val="23"/>
          <w:szCs w:val="23"/>
        </w:rPr>
        <w:t>𝐵𝑂𝑁</w:t>
      </w:r>
      <w:r>
        <w:rPr>
          <w:rFonts w:ascii="Cambria Math" w:hAnsi="Cambria Math" w:cs="Cambria Math"/>
          <w:sz w:val="17"/>
          <w:szCs w:val="17"/>
        </w:rPr>
        <w:t>𝐴𝑘𝑟𝑒𝑑𝑖𝑡𝑎𝑐𝑒</w:t>
      </w:r>
      <w:r>
        <w:rPr>
          <w:sz w:val="17"/>
          <w:szCs w:val="17"/>
        </w:rPr>
        <w:t xml:space="preserve"> </w:t>
      </w:r>
      <w:r w:rsidR="00012D34" w:rsidRPr="00012D34">
        <w:rPr>
          <w:rFonts w:ascii="Times New Roman" w:hAnsi="Times New Roman" w:cs="Times New Roman"/>
        </w:rPr>
        <w:t xml:space="preserve"> je bonifikace za plnění kvalitativních standardů, která se stanoví ve výši 0,015, pokud poskytovatel nejpozději do 60 dnů po skončení hodnoceného období zdravotní pojišťovně doloží osvědčení, že po celé hodnocené období plnil požadavky na minimální hodnotící standardy kvality a bezpečí v souladu se zákonem o zdravotních službách, a ve výši 0 v ostatních případech. </w:t>
      </w:r>
    </w:p>
    <w:p w14:paraId="49BF119D" w14:textId="23F06BFB" w:rsidR="00012D34" w:rsidRPr="00012D34" w:rsidRDefault="009279CD" w:rsidP="00012D34">
      <w:pPr>
        <w:pStyle w:val="Odstavecseseznamem"/>
        <w:rPr>
          <w:rFonts w:ascii="Times New Roman" w:hAnsi="Times New Roman" w:cs="Times New Roman"/>
        </w:rPr>
      </w:pPr>
      <w:r>
        <w:rPr>
          <w:rFonts w:ascii="Cambria Math" w:hAnsi="Cambria Math" w:cs="Cambria Math"/>
          <w:sz w:val="23"/>
          <w:szCs w:val="23"/>
        </w:rPr>
        <w:t>𝐾𝑇𝑟𝑎𝑛𝑠𝑁𝐿𝑃</w:t>
      </w:r>
      <w:r>
        <w:rPr>
          <w:sz w:val="23"/>
          <w:szCs w:val="23"/>
        </w:rPr>
        <w:t xml:space="preserve"> </w:t>
      </w:r>
      <w:r w:rsidR="00012D34" w:rsidRPr="00012D34">
        <w:rPr>
          <w:rFonts w:ascii="Times New Roman" w:hAnsi="Times New Roman" w:cs="Times New Roman"/>
        </w:rPr>
        <w:t xml:space="preserve"> je koeficient plnění transformačního plánu podle části A bodu 5.2.</w:t>
      </w:r>
    </w:p>
    <w:p w14:paraId="0C3404CF" w14:textId="77777777" w:rsidR="00012D34" w:rsidRPr="00253D0F" w:rsidRDefault="00012D34" w:rsidP="00012D34">
      <w:pPr>
        <w:pStyle w:val="Odstavecseseznamem"/>
        <w:numPr>
          <w:ilvl w:val="0"/>
          <w:numId w:val="3"/>
        </w:numPr>
        <w:rPr>
          <w:rFonts w:ascii="Times New Roman" w:hAnsi="Times New Roman" w:cs="Times New Roman"/>
        </w:rPr>
      </w:pPr>
      <w:r w:rsidRPr="00253D0F">
        <w:rPr>
          <w:rFonts w:ascii="Times New Roman" w:hAnsi="Times New Roman" w:cs="Times New Roman"/>
        </w:rPr>
        <w:t>KN se navýší o</w:t>
      </w:r>
    </w:p>
    <w:p w14:paraId="0EEEED2E" w14:textId="77777777" w:rsidR="00012D34" w:rsidRPr="00253D0F" w:rsidRDefault="00012D34" w:rsidP="00012D34">
      <w:pPr>
        <w:pStyle w:val="Odstavecseseznamem"/>
        <w:numPr>
          <w:ilvl w:val="1"/>
          <w:numId w:val="3"/>
        </w:numPr>
        <w:rPr>
          <w:rFonts w:ascii="Times New Roman" w:hAnsi="Times New Roman" w:cs="Times New Roman"/>
        </w:rPr>
      </w:pPr>
      <w:r w:rsidRPr="00253D0F">
        <w:rPr>
          <w:rFonts w:ascii="Times New Roman" w:hAnsi="Times New Roman" w:cs="Times New Roman"/>
        </w:rPr>
        <w:t>0,02 pro OD 00030,</w:t>
      </w:r>
    </w:p>
    <w:p w14:paraId="6A2B6A8F" w14:textId="77777777" w:rsidR="00012D34" w:rsidRPr="00253D0F" w:rsidRDefault="00012D34" w:rsidP="00012D34">
      <w:pPr>
        <w:pStyle w:val="Odstavecseseznamem"/>
        <w:numPr>
          <w:ilvl w:val="1"/>
          <w:numId w:val="3"/>
        </w:numPr>
        <w:rPr>
          <w:rFonts w:ascii="Times New Roman" w:hAnsi="Times New Roman" w:cs="Times New Roman"/>
        </w:rPr>
      </w:pPr>
      <w:r w:rsidRPr="00253D0F">
        <w:rPr>
          <w:rFonts w:ascii="Times New Roman" w:hAnsi="Times New Roman" w:cs="Times New Roman"/>
        </w:rPr>
        <w:lastRenderedPageBreak/>
        <w:t>0,04 pro OD 00030, pokud poskytovatel má průměrně alespoň 0,4 úvazku lékaře se zvláštní specializovanou způsobilostí v oboru paliativní medicína na 120 lůžek pro OD 00030,</w:t>
      </w:r>
    </w:p>
    <w:p w14:paraId="105BF83A" w14:textId="77777777" w:rsidR="00012D34" w:rsidRPr="00253D0F" w:rsidRDefault="00012D34" w:rsidP="00012D34">
      <w:pPr>
        <w:pStyle w:val="Odstavecseseznamem"/>
        <w:numPr>
          <w:ilvl w:val="1"/>
          <w:numId w:val="3"/>
        </w:numPr>
        <w:rPr>
          <w:rFonts w:ascii="Times New Roman" w:hAnsi="Times New Roman" w:cs="Times New Roman"/>
        </w:rPr>
      </w:pPr>
      <w:r w:rsidRPr="00253D0F">
        <w:rPr>
          <w:rFonts w:ascii="Times New Roman" w:hAnsi="Times New Roman" w:cs="Times New Roman"/>
        </w:rPr>
        <w:t>0,04 pro OD 00005, 00024 a 00037, pokud poskytovatel má průměrně alespoň 0,4 úvazku lékaře se specializovanou způsobilostí v oboru geriatrie na 120 lůžek pro OD 00005 a 00024,</w:t>
      </w:r>
    </w:p>
    <w:p w14:paraId="2744BEE5" w14:textId="4E4035C7" w:rsidR="00012D34" w:rsidRDefault="00012D34" w:rsidP="00012D34">
      <w:pPr>
        <w:pStyle w:val="Odstavecseseznamem"/>
        <w:numPr>
          <w:ilvl w:val="1"/>
          <w:numId w:val="3"/>
        </w:numPr>
        <w:rPr>
          <w:rFonts w:ascii="Times New Roman" w:hAnsi="Times New Roman" w:cs="Times New Roman"/>
        </w:rPr>
      </w:pPr>
      <w:r w:rsidRPr="00253D0F">
        <w:rPr>
          <w:rFonts w:ascii="Times New Roman" w:hAnsi="Times New Roman" w:cs="Times New Roman"/>
        </w:rPr>
        <w:t>0,25 pro OD 00005 a 00037 v případě poskytnutí hrazených služeb pojištěncům do dne dosažení 12 let, 0,75 pro OD 00024 v případě poskytnutí hrazených služeb pojištěncům do dne dosažení 6 let.</w:t>
      </w:r>
    </w:p>
    <w:p w14:paraId="1FDF7995" w14:textId="77777777" w:rsidR="001E1120" w:rsidRPr="00253D0F" w:rsidRDefault="001E1120" w:rsidP="001E1120">
      <w:pPr>
        <w:pStyle w:val="Odstavecseseznamem"/>
        <w:ind w:left="1440"/>
        <w:rPr>
          <w:rFonts w:ascii="Times New Roman" w:hAnsi="Times New Roman" w:cs="Times New Roman"/>
        </w:rPr>
      </w:pPr>
    </w:p>
    <w:p w14:paraId="149D670F" w14:textId="4AB86A23" w:rsidR="001E1120" w:rsidRDefault="00012D34" w:rsidP="001E1120">
      <w:pPr>
        <w:pStyle w:val="Odstavecseseznamem"/>
        <w:numPr>
          <w:ilvl w:val="0"/>
          <w:numId w:val="3"/>
        </w:numPr>
        <w:rPr>
          <w:rFonts w:ascii="Times New Roman" w:hAnsi="Times New Roman" w:cs="Times New Roman"/>
        </w:rPr>
      </w:pPr>
      <w:r w:rsidRPr="00253D0F">
        <w:rPr>
          <w:rFonts w:ascii="Times New Roman" w:hAnsi="Times New Roman" w:cs="Times New Roman"/>
        </w:rPr>
        <w:t>V případě, že podíl počtu ošetřených a zdravotní pojišťovnou uznaných unikátních pojištěnců v hodnoceném období s diagnózami G35 až G37 podle mezinárodní klasifikace nemocí na celkovém počtu ošetřených a zdravotní pojišťovnou uznaných unikátních pojištěnců v hodnoceném období překročí 65 %, KN se pro OD 00005 a 00037 navýší o 0,15.</w:t>
      </w:r>
    </w:p>
    <w:p w14:paraId="057200DC" w14:textId="77777777" w:rsidR="001E1120" w:rsidRPr="001E1120" w:rsidRDefault="001E1120" w:rsidP="001E1120">
      <w:pPr>
        <w:pStyle w:val="Odstavecseseznamem"/>
        <w:rPr>
          <w:rFonts w:ascii="Times New Roman" w:hAnsi="Times New Roman" w:cs="Times New Roman"/>
        </w:rPr>
      </w:pPr>
    </w:p>
    <w:p w14:paraId="7E612001" w14:textId="6A6041D1" w:rsidR="001E1120" w:rsidRPr="001E1120" w:rsidRDefault="00012D34" w:rsidP="001E1120">
      <w:pPr>
        <w:pStyle w:val="Odstavecseseznamem"/>
        <w:numPr>
          <w:ilvl w:val="0"/>
          <w:numId w:val="3"/>
        </w:numPr>
        <w:rPr>
          <w:rFonts w:ascii="Times New Roman" w:hAnsi="Times New Roman" w:cs="Times New Roman"/>
        </w:rPr>
      </w:pPr>
      <w:r w:rsidRPr="00253D0F">
        <w:rPr>
          <w:rFonts w:ascii="Times New Roman" w:hAnsi="Times New Roman" w:cs="Times New Roman"/>
        </w:rPr>
        <w:t>V případě, že podíl počtu vykázaných a zdravotní pojišťovnou uznaných OD 00026 v referenčním období vykázaných na pojištěnce hospitalizované s hlavními diagnózami F41, F71 a F84 podle mezinárodní klasifikace nemocí na celkovém počtu vykázaných a zdravotní pojišťovnou uznaných OD 00026 v referenčním období překročil 10 % za každou z uvedených diagnóz, KN se pro OD 00026 navýší v hodnoceném období o 0,15.</w:t>
      </w:r>
    </w:p>
    <w:p w14:paraId="322CDE83" w14:textId="77777777" w:rsidR="001E1120" w:rsidRPr="00253D0F" w:rsidRDefault="001E1120" w:rsidP="001E1120">
      <w:pPr>
        <w:pStyle w:val="Odstavecseseznamem"/>
        <w:rPr>
          <w:rFonts w:ascii="Times New Roman" w:hAnsi="Times New Roman" w:cs="Times New Roman"/>
        </w:rPr>
      </w:pPr>
    </w:p>
    <w:p w14:paraId="6C63AA02" w14:textId="392C6415" w:rsidR="001E1120" w:rsidRPr="001E1120" w:rsidRDefault="00012D34" w:rsidP="001E1120">
      <w:pPr>
        <w:pStyle w:val="Odstavecseseznamem"/>
        <w:numPr>
          <w:ilvl w:val="0"/>
          <w:numId w:val="3"/>
        </w:numPr>
        <w:rPr>
          <w:rFonts w:ascii="Times New Roman" w:hAnsi="Times New Roman" w:cs="Times New Roman"/>
        </w:rPr>
      </w:pPr>
      <w:r w:rsidRPr="00253D0F">
        <w:rPr>
          <w:rFonts w:ascii="Times New Roman" w:hAnsi="Times New Roman" w:cs="Times New Roman"/>
        </w:rPr>
        <w:t>Výše paušální sazby za 1 den hospitalizace OD 00031, 00032, 00098 a 00099 se stanoví v hodnoceném období ve výši, která byla sjednána na rok 202</w:t>
      </w:r>
      <w:r w:rsidR="007C32D9">
        <w:rPr>
          <w:rFonts w:ascii="Times New Roman" w:hAnsi="Times New Roman" w:cs="Times New Roman"/>
        </w:rPr>
        <w:t>5</w:t>
      </w:r>
      <w:r w:rsidRPr="00253D0F">
        <w:rPr>
          <w:rFonts w:ascii="Times New Roman" w:hAnsi="Times New Roman" w:cs="Times New Roman"/>
        </w:rPr>
        <w:t>, navýšené o 4 %. Věta první se nepoužije pro OD 00099, pokud posledním OD vykázaným bezprostředně před prvním z jednoho nebo více souvisle vykázaných OD 00099 je OD 00021 nebo 00026, v takovém případě se výše paušální sazby za 1 den hospitalizace stanoví ve výši 50 % paušální sazby OD 00021, resp. 00026.</w:t>
      </w:r>
    </w:p>
    <w:p w14:paraId="73A7187F" w14:textId="77777777" w:rsidR="001E1120" w:rsidRPr="00253D0F" w:rsidRDefault="001E1120" w:rsidP="001E1120">
      <w:pPr>
        <w:pStyle w:val="Odstavecseseznamem"/>
        <w:rPr>
          <w:rFonts w:ascii="Times New Roman" w:hAnsi="Times New Roman" w:cs="Times New Roman"/>
        </w:rPr>
      </w:pPr>
    </w:p>
    <w:p w14:paraId="5ED13AB1" w14:textId="504883D7" w:rsidR="00012D34" w:rsidRDefault="00012D34" w:rsidP="00012D34">
      <w:pPr>
        <w:pStyle w:val="Odstavecseseznamem"/>
        <w:numPr>
          <w:ilvl w:val="0"/>
          <w:numId w:val="3"/>
        </w:numPr>
        <w:rPr>
          <w:rFonts w:ascii="Times New Roman" w:hAnsi="Times New Roman" w:cs="Times New Roman"/>
        </w:rPr>
      </w:pPr>
      <w:r w:rsidRPr="00012D34">
        <w:rPr>
          <w:rFonts w:ascii="Times New Roman" w:hAnsi="Times New Roman" w:cs="Times New Roman"/>
        </w:rPr>
        <w:t>Výše paušální sazby za 1 den hospitalizace OD 00090 a 00091 se v hodnoceném období stanoví ve výši:</w:t>
      </w:r>
    </w:p>
    <w:p w14:paraId="7968C155" w14:textId="10ABA59C" w:rsidR="009279CD" w:rsidRPr="00012D34" w:rsidRDefault="009279CD" w:rsidP="009279CD">
      <w:pPr>
        <w:pStyle w:val="Odstavecseseznamem"/>
        <w:jc w:val="center"/>
        <w:rPr>
          <w:rFonts w:ascii="Times New Roman" w:hAnsi="Times New Roman" w:cs="Times New Roman"/>
        </w:rPr>
      </w:pPr>
      <w:r>
        <w:rPr>
          <w:rFonts w:ascii="Cambria Math" w:hAnsi="Cambria Math" w:cs="Cambria Math"/>
        </w:rPr>
        <w:t>𝑃𝑆</w:t>
      </w:r>
      <w:r>
        <w:rPr>
          <w:rFonts w:ascii="Cambria Math" w:hAnsi="Cambria Math" w:cs="Cambria Math"/>
          <w:sz w:val="16"/>
          <w:szCs w:val="16"/>
        </w:rPr>
        <w:t>𝑂𝐷</w:t>
      </w:r>
      <w:r>
        <w:rPr>
          <w:sz w:val="16"/>
          <w:szCs w:val="16"/>
        </w:rPr>
        <w:t>,90,91,202</w:t>
      </w:r>
      <w:r w:rsidR="001E1120">
        <w:rPr>
          <w:sz w:val="16"/>
          <w:szCs w:val="16"/>
        </w:rPr>
        <w:t>6</w:t>
      </w:r>
      <w:r>
        <w:t>=1,04</w:t>
      </w:r>
      <w:r>
        <w:rPr>
          <w:rFonts w:ascii="Cambria Math" w:hAnsi="Cambria Math" w:cs="Cambria Math"/>
        </w:rPr>
        <w:t>∗𝑃𝑆</w:t>
      </w:r>
      <w:r>
        <w:rPr>
          <w:rFonts w:ascii="Cambria Math" w:hAnsi="Cambria Math" w:cs="Cambria Math"/>
          <w:sz w:val="16"/>
          <w:szCs w:val="16"/>
        </w:rPr>
        <w:t>𝑂𝐷</w:t>
      </w:r>
      <w:r>
        <w:rPr>
          <w:sz w:val="16"/>
          <w:szCs w:val="16"/>
        </w:rPr>
        <w:t>,21,202</w:t>
      </w:r>
      <w:r w:rsidR="001E1120">
        <w:rPr>
          <w:sz w:val="16"/>
          <w:szCs w:val="16"/>
        </w:rPr>
        <w:t>5</w:t>
      </w:r>
      <w:r>
        <w:t>+</w:t>
      </w:r>
      <w:r>
        <w:rPr>
          <w:rFonts w:ascii="Cambria Math" w:hAnsi="Cambria Math" w:cs="Cambria Math"/>
        </w:rPr>
        <w:t>𝑁</w:t>
      </w:r>
      <w:r>
        <w:rPr>
          <w:rFonts w:ascii="Cambria Math" w:hAnsi="Cambria Math" w:cs="Cambria Math"/>
          <w:sz w:val="16"/>
          <w:szCs w:val="16"/>
        </w:rPr>
        <w:t>𝑂𝐿</w:t>
      </w:r>
    </w:p>
    <w:p w14:paraId="1BC57FC7" w14:textId="77777777" w:rsidR="00012D34" w:rsidRPr="00012D34" w:rsidRDefault="00012D34" w:rsidP="00012D34">
      <w:pPr>
        <w:pStyle w:val="Odstavecseseznamem"/>
        <w:rPr>
          <w:rFonts w:ascii="Times New Roman" w:hAnsi="Times New Roman" w:cs="Times New Roman"/>
        </w:rPr>
      </w:pPr>
      <w:r w:rsidRPr="00012D34">
        <w:rPr>
          <w:rFonts w:ascii="Times New Roman" w:hAnsi="Times New Roman" w:cs="Times New Roman"/>
        </w:rPr>
        <w:t xml:space="preserve">kde: </w:t>
      </w:r>
    </w:p>
    <w:p w14:paraId="02C3C937" w14:textId="11C81EB0" w:rsidR="00012D34" w:rsidRPr="00012D34" w:rsidRDefault="009279CD" w:rsidP="00012D34">
      <w:pPr>
        <w:pStyle w:val="Odstavecseseznamem"/>
        <w:rPr>
          <w:rFonts w:ascii="Times New Roman" w:hAnsi="Times New Roman" w:cs="Times New Roman"/>
        </w:rPr>
      </w:pPr>
      <w:r>
        <w:rPr>
          <w:rFonts w:ascii="Cambria Math" w:hAnsi="Cambria Math" w:cs="Cambria Math"/>
          <w:sz w:val="23"/>
          <w:szCs w:val="23"/>
        </w:rPr>
        <w:t>𝑃𝑆</w:t>
      </w:r>
      <w:r>
        <w:rPr>
          <w:rFonts w:ascii="Cambria Math" w:hAnsi="Cambria Math" w:cs="Cambria Math"/>
          <w:sz w:val="17"/>
          <w:szCs w:val="17"/>
        </w:rPr>
        <w:t>𝑂𝐷</w:t>
      </w:r>
      <w:r>
        <w:rPr>
          <w:sz w:val="17"/>
          <w:szCs w:val="17"/>
        </w:rPr>
        <w:t>,21,202</w:t>
      </w:r>
      <w:r w:rsidR="001E1120">
        <w:rPr>
          <w:sz w:val="17"/>
          <w:szCs w:val="17"/>
        </w:rPr>
        <w:t>5</w:t>
      </w:r>
      <w:r>
        <w:rPr>
          <w:sz w:val="17"/>
          <w:szCs w:val="17"/>
        </w:rPr>
        <w:t xml:space="preserve">  </w:t>
      </w:r>
      <w:r>
        <w:rPr>
          <w:sz w:val="17"/>
          <w:szCs w:val="17"/>
        </w:rPr>
        <w:tab/>
      </w:r>
      <w:r w:rsidR="00012D34" w:rsidRPr="00012D34">
        <w:rPr>
          <w:rFonts w:ascii="Times New Roman" w:hAnsi="Times New Roman" w:cs="Times New Roman"/>
        </w:rPr>
        <w:t>je paušální sazba za 1 den hospitalizace OD 00021 v roce 202</w:t>
      </w:r>
      <w:r w:rsidR="001E1120">
        <w:rPr>
          <w:rFonts w:ascii="Times New Roman" w:hAnsi="Times New Roman" w:cs="Times New Roman"/>
        </w:rPr>
        <w:t>5</w:t>
      </w:r>
      <w:r w:rsidR="00012D34" w:rsidRPr="00012D34">
        <w:rPr>
          <w:rFonts w:ascii="Times New Roman" w:hAnsi="Times New Roman" w:cs="Times New Roman"/>
        </w:rPr>
        <w:t xml:space="preserve"> bez navýšení úhrady plynoucího z plnění smluvních kvalitativních kritérií a z plnění kritérií odpovídajících v roce 202</w:t>
      </w:r>
      <w:r w:rsidR="007C32D9">
        <w:rPr>
          <w:rFonts w:ascii="Times New Roman" w:hAnsi="Times New Roman" w:cs="Times New Roman"/>
        </w:rPr>
        <w:t>5</w:t>
      </w:r>
      <w:r w:rsidR="00012D34" w:rsidRPr="00012D34">
        <w:rPr>
          <w:rFonts w:ascii="Times New Roman" w:hAnsi="Times New Roman" w:cs="Times New Roman"/>
        </w:rPr>
        <w:t xml:space="preserve"> kritériím podle písmene d). </w:t>
      </w:r>
    </w:p>
    <w:p w14:paraId="2C0B073E" w14:textId="334A6748" w:rsidR="00012D34" w:rsidRPr="00012D34" w:rsidRDefault="009279CD" w:rsidP="00012D34">
      <w:pPr>
        <w:pStyle w:val="Odstavecseseznamem"/>
        <w:rPr>
          <w:rFonts w:ascii="Times New Roman" w:hAnsi="Times New Roman" w:cs="Times New Roman"/>
        </w:rPr>
      </w:pPr>
      <w:r>
        <w:rPr>
          <w:rFonts w:ascii="Cambria Math" w:hAnsi="Cambria Math" w:cs="Cambria Math"/>
        </w:rPr>
        <w:t>𝑁𝑂𝐿</w:t>
      </w:r>
      <w:r>
        <w:t xml:space="preserve"> </w:t>
      </w:r>
      <w:r>
        <w:tab/>
      </w:r>
      <w:r w:rsidR="00012D34" w:rsidRPr="00012D34">
        <w:rPr>
          <w:rFonts w:ascii="Times New Roman" w:hAnsi="Times New Roman" w:cs="Times New Roman"/>
        </w:rPr>
        <w:t xml:space="preserve"> je paušální částka navýšení úhrady za ochranné léčení, která se stanoví ve výši 400 Kč pro OD 00090 a ve výši 500 Kč pro OD 00091.</w:t>
      </w:r>
    </w:p>
    <w:p w14:paraId="36F7948B" w14:textId="131DFDEC" w:rsidR="00012D34" w:rsidRPr="009279CD" w:rsidRDefault="00012D34" w:rsidP="00012D34">
      <w:pPr>
        <w:pStyle w:val="Odstavecseseznamem"/>
        <w:numPr>
          <w:ilvl w:val="0"/>
          <w:numId w:val="3"/>
        </w:numPr>
        <w:rPr>
          <w:rFonts w:ascii="Times New Roman" w:hAnsi="Times New Roman" w:cs="Times New Roman"/>
        </w:rPr>
      </w:pPr>
      <w:r w:rsidRPr="00253D0F">
        <w:rPr>
          <w:rFonts w:ascii="Times New Roman" w:hAnsi="Times New Roman" w:cs="Times New Roman"/>
        </w:rPr>
        <w:t>Výše paušální sazby za jeden hospitalizace OD 00037 se v hodnoceném období stanoví ve výši:</w:t>
      </w:r>
    </w:p>
    <w:p w14:paraId="5E2E9005" w14:textId="293D6EE7" w:rsidR="00012D34" w:rsidRPr="00253D0F" w:rsidRDefault="009279CD" w:rsidP="009279CD">
      <w:pPr>
        <w:pStyle w:val="Default"/>
        <w:jc w:val="center"/>
        <w:rPr>
          <w:color w:val="auto"/>
          <w:sz w:val="22"/>
          <w:szCs w:val="22"/>
        </w:rPr>
      </w:pPr>
      <w:r>
        <w:rPr>
          <w:rFonts w:ascii="Cambria Math" w:hAnsi="Cambria Math" w:cs="Cambria Math"/>
          <w:sz w:val="22"/>
          <w:szCs w:val="22"/>
        </w:rPr>
        <w:t>𝑃𝑆</w:t>
      </w:r>
      <w:r>
        <w:rPr>
          <w:rFonts w:ascii="Cambria Math" w:hAnsi="Cambria Math" w:cs="Cambria Math"/>
          <w:sz w:val="16"/>
          <w:szCs w:val="16"/>
        </w:rPr>
        <w:t>𝑂𝐷</w:t>
      </w:r>
      <w:r>
        <w:rPr>
          <w:sz w:val="16"/>
          <w:szCs w:val="16"/>
        </w:rPr>
        <w:t>,37,202</w:t>
      </w:r>
      <w:r w:rsidR="001E1120">
        <w:rPr>
          <w:sz w:val="16"/>
          <w:szCs w:val="16"/>
        </w:rPr>
        <w:t>6</w:t>
      </w:r>
      <w:r>
        <w:rPr>
          <w:sz w:val="22"/>
          <w:szCs w:val="22"/>
        </w:rPr>
        <w:t>=</w:t>
      </w:r>
      <w:r>
        <w:rPr>
          <w:rFonts w:ascii="Cambria Math" w:hAnsi="Cambria Math" w:cs="Cambria Math"/>
          <w:sz w:val="22"/>
          <w:szCs w:val="22"/>
        </w:rPr>
        <w:t>𝑍𝑃𝑆</w:t>
      </w:r>
      <w:r>
        <w:rPr>
          <w:rFonts w:ascii="Cambria Math" w:hAnsi="Cambria Math" w:cs="Cambria Math"/>
          <w:sz w:val="16"/>
          <w:szCs w:val="16"/>
        </w:rPr>
        <w:t>𝑂𝐷</w:t>
      </w:r>
      <w:r>
        <w:rPr>
          <w:sz w:val="16"/>
          <w:szCs w:val="16"/>
        </w:rPr>
        <w:t>,37,</w:t>
      </w:r>
      <w:r>
        <w:rPr>
          <w:rFonts w:ascii="Cambria Math" w:hAnsi="Cambria Math" w:cs="Cambria Math"/>
          <w:sz w:val="16"/>
          <w:szCs w:val="16"/>
        </w:rPr>
        <w:t>𝐾𝑃</w:t>
      </w:r>
      <w:r>
        <w:rPr>
          <w:rFonts w:ascii="Cambria Math" w:hAnsi="Cambria Math" w:cs="Cambria Math"/>
          <w:sz w:val="22"/>
          <w:szCs w:val="22"/>
        </w:rPr>
        <w:t>∗</w:t>
      </w:r>
      <w:r>
        <w:rPr>
          <w:sz w:val="22"/>
          <w:szCs w:val="22"/>
        </w:rPr>
        <w:t>(1+</w:t>
      </w:r>
      <w:r>
        <w:rPr>
          <w:rFonts w:ascii="Cambria Math" w:hAnsi="Cambria Math" w:cs="Cambria Math"/>
          <w:sz w:val="22"/>
          <w:szCs w:val="22"/>
        </w:rPr>
        <w:t>𝐾𝑁</w:t>
      </w:r>
      <w:r>
        <w:rPr>
          <w:sz w:val="22"/>
          <w:szCs w:val="22"/>
        </w:rPr>
        <w:t>)</w:t>
      </w:r>
    </w:p>
    <w:p w14:paraId="2DE556C3" w14:textId="77777777" w:rsidR="00012D34" w:rsidRPr="00253D0F" w:rsidRDefault="00012D34" w:rsidP="00012D34">
      <w:pPr>
        <w:pStyle w:val="Default"/>
        <w:rPr>
          <w:color w:val="auto"/>
          <w:sz w:val="22"/>
          <w:szCs w:val="22"/>
        </w:rPr>
      </w:pPr>
      <w:r w:rsidRPr="00253D0F">
        <w:rPr>
          <w:color w:val="auto"/>
          <w:sz w:val="22"/>
          <w:szCs w:val="22"/>
        </w:rPr>
        <w:t>Kde:</w:t>
      </w:r>
    </w:p>
    <w:p w14:paraId="5446CE1A" w14:textId="5CB39A2D" w:rsidR="00012D34" w:rsidRPr="00253D0F" w:rsidRDefault="009279CD" w:rsidP="00012D34">
      <w:pPr>
        <w:pStyle w:val="Default"/>
        <w:rPr>
          <w:color w:val="auto"/>
          <w:sz w:val="22"/>
          <w:szCs w:val="22"/>
        </w:rPr>
      </w:pPr>
      <w:r>
        <w:rPr>
          <w:rFonts w:ascii="Cambria Math" w:hAnsi="Cambria Math" w:cs="Cambria Math"/>
          <w:sz w:val="23"/>
          <w:szCs w:val="23"/>
        </w:rPr>
        <w:t>𝑍𝑃𝑆</w:t>
      </w:r>
      <w:r>
        <w:rPr>
          <w:rFonts w:ascii="Cambria Math" w:hAnsi="Cambria Math" w:cs="Cambria Math"/>
          <w:sz w:val="17"/>
          <w:szCs w:val="17"/>
        </w:rPr>
        <w:t>𝑂𝐷</w:t>
      </w:r>
      <w:r>
        <w:rPr>
          <w:sz w:val="17"/>
          <w:szCs w:val="17"/>
        </w:rPr>
        <w:t>,37,</w:t>
      </w:r>
      <w:r>
        <w:rPr>
          <w:rFonts w:ascii="Cambria Math" w:hAnsi="Cambria Math" w:cs="Cambria Math"/>
          <w:sz w:val="17"/>
          <w:szCs w:val="17"/>
        </w:rPr>
        <w:t>𝐾𝑃</w:t>
      </w:r>
      <w:r>
        <w:rPr>
          <w:sz w:val="17"/>
          <w:szCs w:val="17"/>
        </w:rPr>
        <w:t xml:space="preserve"> </w:t>
      </w:r>
      <w:r w:rsidR="00012D34" w:rsidRPr="00253D0F">
        <w:rPr>
          <w:color w:val="auto"/>
          <w:sz w:val="22"/>
          <w:szCs w:val="22"/>
        </w:rPr>
        <w:t>je základní paušální sazba za 1 den hospitalizace OD 00037 v roce 202</w:t>
      </w:r>
      <w:r w:rsidR="007C32D9">
        <w:rPr>
          <w:color w:val="auto"/>
          <w:sz w:val="22"/>
          <w:szCs w:val="22"/>
        </w:rPr>
        <w:t>6</w:t>
      </w:r>
      <w:r w:rsidR="00012D34" w:rsidRPr="00253D0F">
        <w:rPr>
          <w:color w:val="auto"/>
          <w:sz w:val="22"/>
          <w:szCs w:val="22"/>
        </w:rPr>
        <w:t>, která se stanoví podle následující tabulky:</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45A02" w:rsidRPr="00253D0F" w14:paraId="7E37D094" w14:textId="77777777" w:rsidTr="00CC58AD">
        <w:tc>
          <w:tcPr>
            <w:tcW w:w="1510" w:type="dxa"/>
          </w:tcPr>
          <w:p w14:paraId="54291C6F" w14:textId="77777777" w:rsidR="00345A02" w:rsidRPr="00253D0F" w:rsidRDefault="00345A02" w:rsidP="00345A02">
            <w:pPr>
              <w:pStyle w:val="Default"/>
              <w:rPr>
                <w:color w:val="auto"/>
                <w:sz w:val="22"/>
                <w:szCs w:val="22"/>
              </w:rPr>
            </w:pPr>
          </w:p>
        </w:tc>
        <w:tc>
          <w:tcPr>
            <w:tcW w:w="1510" w:type="dxa"/>
            <w:tcBorders>
              <w:top w:val="none" w:sz="6" w:space="0" w:color="auto"/>
              <w:bottom w:val="none" w:sz="6" w:space="0" w:color="auto"/>
              <w:right w:val="none" w:sz="6" w:space="0" w:color="auto"/>
            </w:tcBorders>
          </w:tcPr>
          <w:p w14:paraId="48349ECC" w14:textId="37584D2B" w:rsidR="00345A02" w:rsidRPr="00253D0F" w:rsidRDefault="00345A02" w:rsidP="00345A02">
            <w:pPr>
              <w:pStyle w:val="Default"/>
              <w:rPr>
                <w:color w:val="auto"/>
                <w:sz w:val="22"/>
                <w:szCs w:val="22"/>
              </w:rPr>
            </w:pPr>
            <w:r w:rsidRPr="00253D0F">
              <w:rPr>
                <w:sz w:val="22"/>
                <w:szCs w:val="22"/>
              </w:rPr>
              <w:t xml:space="preserve">Kategorie pacienta 1 </w:t>
            </w:r>
          </w:p>
        </w:tc>
        <w:tc>
          <w:tcPr>
            <w:tcW w:w="1510" w:type="dxa"/>
            <w:tcBorders>
              <w:top w:val="none" w:sz="6" w:space="0" w:color="auto"/>
              <w:left w:val="none" w:sz="6" w:space="0" w:color="auto"/>
              <w:bottom w:val="none" w:sz="6" w:space="0" w:color="auto"/>
              <w:right w:val="none" w:sz="6" w:space="0" w:color="auto"/>
            </w:tcBorders>
          </w:tcPr>
          <w:p w14:paraId="25BCD519" w14:textId="519540A3" w:rsidR="00345A02" w:rsidRPr="00253D0F" w:rsidRDefault="00345A02" w:rsidP="00345A02">
            <w:pPr>
              <w:pStyle w:val="Default"/>
              <w:rPr>
                <w:color w:val="auto"/>
                <w:sz w:val="22"/>
                <w:szCs w:val="22"/>
              </w:rPr>
            </w:pPr>
            <w:r w:rsidRPr="00253D0F">
              <w:rPr>
                <w:sz w:val="22"/>
                <w:szCs w:val="22"/>
              </w:rPr>
              <w:t xml:space="preserve">Kategorie pacienta 2 </w:t>
            </w:r>
          </w:p>
        </w:tc>
        <w:tc>
          <w:tcPr>
            <w:tcW w:w="1510" w:type="dxa"/>
            <w:tcBorders>
              <w:top w:val="none" w:sz="6" w:space="0" w:color="auto"/>
              <w:left w:val="none" w:sz="6" w:space="0" w:color="auto"/>
              <w:bottom w:val="none" w:sz="6" w:space="0" w:color="auto"/>
              <w:right w:val="none" w:sz="6" w:space="0" w:color="auto"/>
            </w:tcBorders>
          </w:tcPr>
          <w:p w14:paraId="5847E384" w14:textId="65DD9B22" w:rsidR="00345A02" w:rsidRPr="00253D0F" w:rsidRDefault="00345A02" w:rsidP="00345A02">
            <w:pPr>
              <w:pStyle w:val="Default"/>
              <w:rPr>
                <w:color w:val="auto"/>
                <w:sz w:val="22"/>
                <w:szCs w:val="22"/>
              </w:rPr>
            </w:pPr>
            <w:r w:rsidRPr="00253D0F">
              <w:rPr>
                <w:sz w:val="22"/>
                <w:szCs w:val="22"/>
              </w:rPr>
              <w:t xml:space="preserve">Kategorie pacienta 3 </w:t>
            </w:r>
          </w:p>
        </w:tc>
        <w:tc>
          <w:tcPr>
            <w:tcW w:w="1511" w:type="dxa"/>
            <w:tcBorders>
              <w:top w:val="none" w:sz="6" w:space="0" w:color="auto"/>
              <w:left w:val="none" w:sz="6" w:space="0" w:color="auto"/>
              <w:bottom w:val="none" w:sz="6" w:space="0" w:color="auto"/>
              <w:right w:val="none" w:sz="6" w:space="0" w:color="auto"/>
            </w:tcBorders>
          </w:tcPr>
          <w:p w14:paraId="58F02B13" w14:textId="0195531A" w:rsidR="00345A02" w:rsidRPr="00253D0F" w:rsidRDefault="00345A02" w:rsidP="00345A02">
            <w:pPr>
              <w:pStyle w:val="Default"/>
              <w:rPr>
                <w:color w:val="auto"/>
                <w:sz w:val="22"/>
                <w:szCs w:val="22"/>
              </w:rPr>
            </w:pPr>
            <w:r w:rsidRPr="00253D0F">
              <w:rPr>
                <w:sz w:val="22"/>
                <w:szCs w:val="22"/>
              </w:rPr>
              <w:t xml:space="preserve">Kategorie pacienta 4 </w:t>
            </w:r>
          </w:p>
        </w:tc>
        <w:tc>
          <w:tcPr>
            <w:tcW w:w="1511" w:type="dxa"/>
            <w:tcBorders>
              <w:top w:val="none" w:sz="6" w:space="0" w:color="auto"/>
              <w:left w:val="none" w:sz="6" w:space="0" w:color="auto"/>
              <w:bottom w:val="none" w:sz="6" w:space="0" w:color="auto"/>
            </w:tcBorders>
          </w:tcPr>
          <w:p w14:paraId="10B155DE" w14:textId="58A1C790" w:rsidR="00345A02" w:rsidRPr="00253D0F" w:rsidRDefault="00345A02" w:rsidP="00345A02">
            <w:pPr>
              <w:pStyle w:val="Default"/>
              <w:rPr>
                <w:color w:val="auto"/>
                <w:sz w:val="22"/>
                <w:szCs w:val="22"/>
              </w:rPr>
            </w:pPr>
            <w:r w:rsidRPr="00253D0F">
              <w:rPr>
                <w:sz w:val="22"/>
                <w:szCs w:val="22"/>
              </w:rPr>
              <w:t xml:space="preserve">Kategorie pacienta 5 </w:t>
            </w:r>
          </w:p>
        </w:tc>
      </w:tr>
      <w:tr w:rsidR="00345A02" w:rsidRPr="00253D0F" w14:paraId="21D145B1" w14:textId="77777777" w:rsidTr="00E167F3">
        <w:tc>
          <w:tcPr>
            <w:tcW w:w="1510" w:type="dxa"/>
            <w:tcBorders>
              <w:top w:val="none" w:sz="6" w:space="0" w:color="auto"/>
              <w:bottom w:val="none" w:sz="6" w:space="0" w:color="auto"/>
              <w:right w:val="none" w:sz="6" w:space="0" w:color="auto"/>
            </w:tcBorders>
          </w:tcPr>
          <w:p w14:paraId="3E49C10A" w14:textId="2B021479" w:rsidR="00345A02" w:rsidRPr="00253D0F" w:rsidRDefault="009279CD" w:rsidP="00345A02">
            <w:pPr>
              <w:pStyle w:val="Default"/>
              <w:rPr>
                <w:color w:val="auto"/>
                <w:sz w:val="22"/>
                <w:szCs w:val="22"/>
              </w:rPr>
            </w:pPr>
            <w:r>
              <w:rPr>
                <w:rFonts w:ascii="Cambria Math" w:hAnsi="Cambria Math" w:cs="Cambria Math"/>
                <w:sz w:val="23"/>
                <w:szCs w:val="23"/>
              </w:rPr>
              <w:t>𝑍𝑃𝑆</w:t>
            </w:r>
            <w:r>
              <w:rPr>
                <w:rFonts w:ascii="Cambria Math" w:hAnsi="Cambria Math" w:cs="Cambria Math"/>
                <w:sz w:val="17"/>
                <w:szCs w:val="17"/>
              </w:rPr>
              <w:t>𝑂𝐷</w:t>
            </w:r>
            <w:r>
              <w:rPr>
                <w:sz w:val="17"/>
                <w:szCs w:val="17"/>
              </w:rPr>
              <w:t>,37,</w:t>
            </w:r>
            <w:r>
              <w:rPr>
                <w:rFonts w:ascii="Cambria Math" w:hAnsi="Cambria Math" w:cs="Cambria Math"/>
                <w:sz w:val="17"/>
                <w:szCs w:val="17"/>
              </w:rPr>
              <w:t>𝐾𝑃</w:t>
            </w:r>
          </w:p>
        </w:tc>
        <w:tc>
          <w:tcPr>
            <w:tcW w:w="1510" w:type="dxa"/>
            <w:tcBorders>
              <w:top w:val="none" w:sz="6" w:space="0" w:color="auto"/>
              <w:left w:val="none" w:sz="6" w:space="0" w:color="auto"/>
              <w:bottom w:val="none" w:sz="6" w:space="0" w:color="auto"/>
              <w:right w:val="none" w:sz="6" w:space="0" w:color="auto"/>
            </w:tcBorders>
          </w:tcPr>
          <w:p w14:paraId="2E7F7F77" w14:textId="0FC3F542" w:rsidR="00345A02" w:rsidRPr="00253D0F" w:rsidRDefault="00345A02" w:rsidP="00345A02">
            <w:pPr>
              <w:pStyle w:val="Default"/>
              <w:rPr>
                <w:color w:val="auto"/>
                <w:sz w:val="22"/>
                <w:szCs w:val="22"/>
              </w:rPr>
            </w:pPr>
            <w:r w:rsidRPr="00253D0F">
              <w:rPr>
                <w:sz w:val="22"/>
                <w:szCs w:val="22"/>
              </w:rPr>
              <w:t xml:space="preserve">1 469 Kč </w:t>
            </w:r>
          </w:p>
        </w:tc>
        <w:tc>
          <w:tcPr>
            <w:tcW w:w="1510" w:type="dxa"/>
            <w:tcBorders>
              <w:top w:val="none" w:sz="6" w:space="0" w:color="auto"/>
              <w:left w:val="none" w:sz="6" w:space="0" w:color="auto"/>
              <w:bottom w:val="none" w:sz="6" w:space="0" w:color="auto"/>
              <w:right w:val="none" w:sz="6" w:space="0" w:color="auto"/>
            </w:tcBorders>
          </w:tcPr>
          <w:p w14:paraId="6C49C21B" w14:textId="6BA49AD9" w:rsidR="00345A02" w:rsidRPr="00253D0F" w:rsidRDefault="00345A02" w:rsidP="00345A02">
            <w:pPr>
              <w:pStyle w:val="Default"/>
              <w:rPr>
                <w:color w:val="auto"/>
                <w:sz w:val="22"/>
                <w:szCs w:val="22"/>
              </w:rPr>
            </w:pPr>
            <w:r w:rsidRPr="00253D0F">
              <w:rPr>
                <w:sz w:val="22"/>
                <w:szCs w:val="22"/>
              </w:rPr>
              <w:t xml:space="preserve">1 692 Kč </w:t>
            </w:r>
          </w:p>
        </w:tc>
        <w:tc>
          <w:tcPr>
            <w:tcW w:w="1510" w:type="dxa"/>
            <w:tcBorders>
              <w:top w:val="none" w:sz="6" w:space="0" w:color="auto"/>
              <w:left w:val="none" w:sz="6" w:space="0" w:color="auto"/>
              <w:bottom w:val="none" w:sz="6" w:space="0" w:color="auto"/>
              <w:right w:val="none" w:sz="6" w:space="0" w:color="auto"/>
            </w:tcBorders>
          </w:tcPr>
          <w:p w14:paraId="64A889C1" w14:textId="24D567AD" w:rsidR="00345A02" w:rsidRPr="00253D0F" w:rsidRDefault="00345A02" w:rsidP="00345A02">
            <w:pPr>
              <w:pStyle w:val="Default"/>
              <w:rPr>
                <w:color w:val="auto"/>
                <w:sz w:val="22"/>
                <w:szCs w:val="22"/>
              </w:rPr>
            </w:pPr>
            <w:r w:rsidRPr="00253D0F">
              <w:rPr>
                <w:sz w:val="22"/>
                <w:szCs w:val="22"/>
              </w:rPr>
              <w:t xml:space="preserve">1 979 Kč </w:t>
            </w:r>
          </w:p>
        </w:tc>
        <w:tc>
          <w:tcPr>
            <w:tcW w:w="1511" w:type="dxa"/>
            <w:tcBorders>
              <w:top w:val="none" w:sz="6" w:space="0" w:color="auto"/>
              <w:left w:val="none" w:sz="6" w:space="0" w:color="auto"/>
              <w:bottom w:val="none" w:sz="6" w:space="0" w:color="auto"/>
              <w:right w:val="none" w:sz="6" w:space="0" w:color="auto"/>
            </w:tcBorders>
          </w:tcPr>
          <w:p w14:paraId="30B9AC5F" w14:textId="29F7209B" w:rsidR="00345A02" w:rsidRPr="00253D0F" w:rsidRDefault="00345A02" w:rsidP="00345A02">
            <w:pPr>
              <w:pStyle w:val="Default"/>
              <w:rPr>
                <w:color w:val="auto"/>
                <w:sz w:val="22"/>
                <w:szCs w:val="22"/>
              </w:rPr>
            </w:pPr>
            <w:r w:rsidRPr="00253D0F">
              <w:rPr>
                <w:sz w:val="22"/>
                <w:szCs w:val="22"/>
              </w:rPr>
              <w:t xml:space="preserve">2 203 Kč </w:t>
            </w:r>
          </w:p>
        </w:tc>
        <w:tc>
          <w:tcPr>
            <w:tcW w:w="1511" w:type="dxa"/>
            <w:tcBorders>
              <w:top w:val="none" w:sz="6" w:space="0" w:color="auto"/>
              <w:left w:val="none" w:sz="6" w:space="0" w:color="auto"/>
              <w:bottom w:val="none" w:sz="6" w:space="0" w:color="auto"/>
            </w:tcBorders>
          </w:tcPr>
          <w:p w14:paraId="5E168AA2" w14:textId="08AA9C19" w:rsidR="00345A02" w:rsidRPr="00253D0F" w:rsidRDefault="00345A02" w:rsidP="00345A02">
            <w:pPr>
              <w:pStyle w:val="Default"/>
              <w:rPr>
                <w:color w:val="auto"/>
                <w:sz w:val="22"/>
                <w:szCs w:val="22"/>
              </w:rPr>
            </w:pPr>
            <w:r w:rsidRPr="00253D0F">
              <w:rPr>
                <w:sz w:val="22"/>
                <w:szCs w:val="22"/>
              </w:rPr>
              <w:t xml:space="preserve">není stanovena </w:t>
            </w:r>
          </w:p>
        </w:tc>
      </w:tr>
    </w:tbl>
    <w:p w14:paraId="75324F39" w14:textId="270955FB" w:rsidR="00012D34" w:rsidRPr="00253D0F" w:rsidRDefault="00345A02" w:rsidP="00012D34">
      <w:pPr>
        <w:pStyle w:val="Default"/>
        <w:rPr>
          <w:color w:val="auto"/>
          <w:sz w:val="22"/>
          <w:szCs w:val="22"/>
        </w:rPr>
      </w:pPr>
      <w:r w:rsidRPr="00253D0F">
        <w:rPr>
          <w:rFonts w:ascii="Cambria Math" w:hAnsi="Cambria Math" w:cs="Cambria Math"/>
          <w:color w:val="auto"/>
          <w:sz w:val="22"/>
          <w:szCs w:val="22"/>
        </w:rPr>
        <w:t>𝐾𝑁</w:t>
      </w:r>
      <w:r w:rsidRPr="00253D0F">
        <w:rPr>
          <w:color w:val="auto"/>
          <w:sz w:val="22"/>
          <w:szCs w:val="22"/>
        </w:rPr>
        <w:t xml:space="preserve"> je koeficient navýšení, který se stanoví součtem hodnot navýšení podle kritérií stanovených v písmenech c), e) a f).</w:t>
      </w:r>
    </w:p>
    <w:p w14:paraId="7C698099" w14:textId="77777777" w:rsidR="00012D34" w:rsidRPr="00253D0F" w:rsidRDefault="00012D34" w:rsidP="00012D34">
      <w:pPr>
        <w:pStyle w:val="Default"/>
        <w:rPr>
          <w:color w:val="auto"/>
          <w:sz w:val="22"/>
          <w:szCs w:val="22"/>
        </w:rPr>
      </w:pPr>
    </w:p>
    <w:p w14:paraId="597B7C4E" w14:textId="7025D76E" w:rsidR="00012D34" w:rsidRPr="00253D0F" w:rsidRDefault="00345A02" w:rsidP="00012D34">
      <w:pPr>
        <w:pStyle w:val="Odstavecseseznamem"/>
        <w:numPr>
          <w:ilvl w:val="0"/>
          <w:numId w:val="3"/>
        </w:numPr>
        <w:rPr>
          <w:rFonts w:ascii="Times New Roman" w:hAnsi="Times New Roman" w:cs="Times New Roman"/>
        </w:rPr>
      </w:pPr>
      <w:r w:rsidRPr="00253D0F">
        <w:rPr>
          <w:rFonts w:ascii="Times New Roman" w:hAnsi="Times New Roman" w:cs="Times New Roman"/>
        </w:rPr>
        <w:lastRenderedPageBreak/>
        <w:t>V případě poskytnutí hrazených služeb zahraničním pojištěncům se nepoužije koeficient navýšení KN podle písmen c) až g).</w:t>
      </w:r>
    </w:p>
    <w:p w14:paraId="25928E80" w14:textId="24296A54" w:rsidR="00012D34" w:rsidRPr="00253D0F" w:rsidRDefault="00345A02" w:rsidP="00012D34">
      <w:pPr>
        <w:pStyle w:val="Odstavecseseznamem"/>
        <w:numPr>
          <w:ilvl w:val="0"/>
          <w:numId w:val="3"/>
        </w:numPr>
        <w:rPr>
          <w:rFonts w:ascii="Times New Roman" w:hAnsi="Times New Roman" w:cs="Times New Roman"/>
        </w:rPr>
      </w:pPr>
      <w:r w:rsidRPr="00253D0F">
        <w:rPr>
          <w:rFonts w:ascii="Times New Roman" w:hAnsi="Times New Roman" w:cs="Times New Roman"/>
        </w:rPr>
        <w:t>Hrazené služby podle části A bodu 7.12 písm. c), pokud jsou poskytnuty během hospitalizace pojištěnce, jsou vyjmuty z úhrady podle písmen a) až k) a hradí se podle bodu 3 písm. a) této části; z úhrady podle písmen a) až k) jsou vyjmuty též zvlášť účtované léčivé přípravky ATC skupiny J07BB02, přičemž tyto léčivé přípravky uhradí zdravotní pojišťovna poskytovateli ve výši jejich vykázané jednotkové ceny.</w:t>
      </w:r>
    </w:p>
    <w:p w14:paraId="05040EE2" w14:textId="77777777" w:rsidR="00345A02" w:rsidRPr="00253D0F" w:rsidRDefault="00345A02" w:rsidP="00345A02">
      <w:pPr>
        <w:rPr>
          <w:rFonts w:ascii="Times New Roman" w:hAnsi="Times New Roman" w:cs="Times New Roman"/>
        </w:rPr>
      </w:pPr>
      <w:r w:rsidRPr="00345A02">
        <w:rPr>
          <w:rFonts w:ascii="Times New Roman" w:hAnsi="Times New Roman" w:cs="Times New Roman"/>
          <w:b/>
          <w:bCs/>
        </w:rPr>
        <w:t xml:space="preserve">2. Úhrada následné intenzivní péče, dlouhodobé intenzivní ošetřovatelské péče, následné ventilační péče a následné komplexní intenzivní léčebně rehabilitační péče </w:t>
      </w:r>
    </w:p>
    <w:p w14:paraId="7289A3BB" w14:textId="2FE34CBA" w:rsidR="00345A02" w:rsidRPr="00253D0F" w:rsidRDefault="00345A02" w:rsidP="00345A02">
      <w:pPr>
        <w:pStyle w:val="Odstavecseseznamem"/>
        <w:numPr>
          <w:ilvl w:val="0"/>
          <w:numId w:val="8"/>
        </w:numPr>
        <w:rPr>
          <w:rFonts w:ascii="Times New Roman" w:hAnsi="Times New Roman" w:cs="Times New Roman"/>
        </w:rPr>
      </w:pPr>
      <w:r w:rsidRPr="00253D0F">
        <w:rPr>
          <w:rFonts w:ascii="Times New Roman" w:hAnsi="Times New Roman" w:cs="Times New Roman"/>
        </w:rPr>
        <w:t>OD 00015, 00017 a 00020 jsou hrazeny podle seznamu výkonů s hodnotou bodu ve výši 1,60 Kč pro OD 00015, 1,</w:t>
      </w:r>
      <w:r w:rsidR="001E1120">
        <w:rPr>
          <w:rFonts w:ascii="Times New Roman" w:hAnsi="Times New Roman" w:cs="Times New Roman"/>
        </w:rPr>
        <w:t xml:space="preserve">62 </w:t>
      </w:r>
      <w:r w:rsidRPr="00253D0F">
        <w:rPr>
          <w:rFonts w:ascii="Times New Roman" w:hAnsi="Times New Roman" w:cs="Times New Roman"/>
        </w:rPr>
        <w:t xml:space="preserve"> Kč pro OD 00017 a 1,</w:t>
      </w:r>
      <w:r w:rsidR="001E1120">
        <w:rPr>
          <w:rFonts w:ascii="Times New Roman" w:hAnsi="Times New Roman" w:cs="Times New Roman"/>
        </w:rPr>
        <w:t xml:space="preserve">60 </w:t>
      </w:r>
      <w:r w:rsidRPr="00253D0F">
        <w:rPr>
          <w:rFonts w:ascii="Times New Roman" w:hAnsi="Times New Roman" w:cs="Times New Roman"/>
        </w:rPr>
        <w:t xml:space="preserve"> Kč pro OD 00020. Výkony, kterými se vykazuje příjmové nebo propouštěcí vyšetření, jsou hrazeny podle seznamu výkonů s hodnotou bodu ve výši 1,4</w:t>
      </w:r>
      <w:r w:rsidR="001E1120">
        <w:rPr>
          <w:rFonts w:ascii="Times New Roman" w:hAnsi="Times New Roman" w:cs="Times New Roman"/>
        </w:rPr>
        <w:t xml:space="preserve">9 </w:t>
      </w:r>
      <w:r w:rsidRPr="00253D0F">
        <w:rPr>
          <w:rFonts w:ascii="Times New Roman" w:hAnsi="Times New Roman" w:cs="Times New Roman"/>
        </w:rPr>
        <w:t xml:space="preserve"> Kč. </w:t>
      </w:r>
    </w:p>
    <w:p w14:paraId="1993E77E" w14:textId="77777777" w:rsidR="00345A02" w:rsidRPr="00253D0F" w:rsidRDefault="00345A02" w:rsidP="00345A02">
      <w:pPr>
        <w:pStyle w:val="Odstavecseseznamem"/>
        <w:numPr>
          <w:ilvl w:val="0"/>
          <w:numId w:val="8"/>
        </w:numPr>
        <w:rPr>
          <w:rFonts w:ascii="Times New Roman" w:hAnsi="Times New Roman" w:cs="Times New Roman"/>
        </w:rPr>
      </w:pPr>
      <w:r w:rsidRPr="00253D0F">
        <w:rPr>
          <w:rFonts w:ascii="Times New Roman" w:hAnsi="Times New Roman" w:cs="Times New Roman"/>
        </w:rPr>
        <w:t xml:space="preserve"> Zdravotní pojišťovna uhradí na jednoho unikátního pojištěnce nad 18 let věku maximálně 90 OD 00017, počítáno od prvního dne přijetí na lůžko následné intenzivní péče (dále jen „NIP“), včetně překladů na jiné pracoviště NIP poskytovatele nebo jiného poskytovatele NIP. </w:t>
      </w:r>
    </w:p>
    <w:p w14:paraId="2398A22F" w14:textId="77777777" w:rsidR="00345A02" w:rsidRPr="00253D0F" w:rsidRDefault="00345A02" w:rsidP="00345A02">
      <w:pPr>
        <w:pStyle w:val="Odstavecseseznamem"/>
        <w:numPr>
          <w:ilvl w:val="0"/>
          <w:numId w:val="8"/>
        </w:numPr>
        <w:rPr>
          <w:rFonts w:ascii="Times New Roman" w:hAnsi="Times New Roman" w:cs="Times New Roman"/>
        </w:rPr>
      </w:pPr>
      <w:r w:rsidRPr="00253D0F">
        <w:rPr>
          <w:rFonts w:ascii="Times New Roman" w:hAnsi="Times New Roman" w:cs="Times New Roman"/>
        </w:rPr>
        <w:t xml:space="preserve">Zdravotní pojišťovna uhradí na jednoho unikátního pojištěnce do 18 let věku maximálně 365 OD 00017, počítáno od prvního dne přijetí na lůžko NIP, včetně překladů na jiné pracoviště NIP poskytovatele nebo jiného poskytovatele NIP. Překročení maximálního počtu hrazených OD 00017 na jednoho unikátního pojištěnce do 18 let věku je možné jen s předchozím souhlasem zdravotní pojišťovny. </w:t>
      </w:r>
    </w:p>
    <w:p w14:paraId="7BF31C7A" w14:textId="77777777" w:rsidR="00345A02" w:rsidRPr="00253D0F" w:rsidRDefault="00345A02" w:rsidP="00345A02">
      <w:pPr>
        <w:pStyle w:val="Odstavecseseznamem"/>
        <w:numPr>
          <w:ilvl w:val="0"/>
          <w:numId w:val="8"/>
        </w:numPr>
        <w:rPr>
          <w:rFonts w:ascii="Times New Roman" w:hAnsi="Times New Roman" w:cs="Times New Roman"/>
        </w:rPr>
      </w:pPr>
      <w:r w:rsidRPr="00253D0F">
        <w:rPr>
          <w:rFonts w:ascii="Times New Roman" w:hAnsi="Times New Roman" w:cs="Times New Roman"/>
        </w:rPr>
        <w:t xml:space="preserve">Zdravotní pojišťovna uhradí na jednoho unikátního pojištěnce maximálně 190 OD 00020, počítáno od prvního dne přijetí na lůžko dlouhodobé intenzivní ošetřovatelské péče (dále jen „DIOP“), včetně překladů na jiné pracoviště DIOP poskytovatele nebo jiného poskytovatele DIOP, přičemž překlad na jiné pracoviště DIOP je možný pouze s předchozím souhlasem zdravotní pojišťovny. Zdravotní pojišťovna může udělit předchozí souhlas s překročením limitu podle předchozí věty. </w:t>
      </w:r>
    </w:p>
    <w:p w14:paraId="422E36D0" w14:textId="168EB644" w:rsidR="00345A02" w:rsidRPr="00253D0F" w:rsidRDefault="00345A02" w:rsidP="00345A02">
      <w:pPr>
        <w:pStyle w:val="Odstavecseseznamem"/>
        <w:numPr>
          <w:ilvl w:val="0"/>
          <w:numId w:val="8"/>
        </w:numPr>
        <w:rPr>
          <w:rFonts w:ascii="Times New Roman" w:hAnsi="Times New Roman" w:cs="Times New Roman"/>
        </w:rPr>
      </w:pPr>
      <w:r w:rsidRPr="00253D0F">
        <w:rPr>
          <w:rFonts w:ascii="Times New Roman" w:hAnsi="Times New Roman" w:cs="Times New Roman"/>
        </w:rPr>
        <w:t>OD 00033 a 00035 jsou hrazeny podle seznamu výkonů s hodnotou bodu ve výši 1,31 Kč.</w:t>
      </w:r>
    </w:p>
    <w:p w14:paraId="23387986" w14:textId="0A1DD87C" w:rsidR="00345A02" w:rsidRPr="00253D0F" w:rsidRDefault="00345A02" w:rsidP="00345A02">
      <w:pPr>
        <w:pStyle w:val="Default"/>
        <w:rPr>
          <w:sz w:val="22"/>
          <w:szCs w:val="22"/>
        </w:rPr>
      </w:pPr>
      <w:r w:rsidRPr="00253D0F">
        <w:rPr>
          <w:b/>
          <w:bCs/>
          <w:sz w:val="22"/>
          <w:szCs w:val="22"/>
        </w:rPr>
        <w:t>3. Úhrada ambulantní péče a zvláštní ambulantní péče s výjimkou úhrady takové péče poskytnuté poskytovatelem zvláštní lůžkové péče</w:t>
      </w:r>
      <w:r w:rsidRPr="00253D0F">
        <w:rPr>
          <w:sz w:val="22"/>
          <w:szCs w:val="22"/>
        </w:rPr>
        <w:t xml:space="preserve"> </w:t>
      </w:r>
    </w:p>
    <w:p w14:paraId="489ACE8A" w14:textId="77777777" w:rsidR="00345A02" w:rsidRPr="00253D0F" w:rsidRDefault="00345A02" w:rsidP="00345A02">
      <w:pPr>
        <w:pStyle w:val="Default"/>
        <w:rPr>
          <w:color w:val="auto"/>
          <w:sz w:val="22"/>
          <w:szCs w:val="22"/>
        </w:rPr>
      </w:pPr>
    </w:p>
    <w:p w14:paraId="7FD40208" w14:textId="77777777" w:rsidR="00345A02" w:rsidRPr="00253D0F" w:rsidRDefault="00345A02" w:rsidP="00345A02">
      <w:pPr>
        <w:pStyle w:val="Odstavecseseznamem"/>
        <w:numPr>
          <w:ilvl w:val="0"/>
          <w:numId w:val="10"/>
        </w:numPr>
        <w:rPr>
          <w:rFonts w:ascii="Times New Roman" w:hAnsi="Times New Roman" w:cs="Times New Roman"/>
        </w:rPr>
      </w:pPr>
      <w:r w:rsidRPr="00253D0F">
        <w:rPr>
          <w:rFonts w:ascii="Times New Roman" w:hAnsi="Times New Roman" w:cs="Times New Roman"/>
        </w:rPr>
        <w:t>Pro ambulantní péči hrazenou podle seznamu výkonů se hodnota bodu stanoví podle části A bodu 7 přílohy č. 1 k této vyhlášce.</w:t>
      </w:r>
    </w:p>
    <w:p w14:paraId="2602C288" w14:textId="77777777" w:rsidR="00345A02" w:rsidRPr="00253D0F" w:rsidRDefault="00345A02" w:rsidP="00345A02">
      <w:pPr>
        <w:pStyle w:val="Odstavecseseznamem"/>
        <w:numPr>
          <w:ilvl w:val="0"/>
          <w:numId w:val="10"/>
        </w:numPr>
        <w:rPr>
          <w:rFonts w:ascii="Times New Roman" w:hAnsi="Times New Roman" w:cs="Times New Roman"/>
        </w:rPr>
      </w:pPr>
      <w:r w:rsidRPr="00253D0F">
        <w:rPr>
          <w:rFonts w:ascii="Times New Roman" w:hAnsi="Times New Roman" w:cs="Times New Roman"/>
        </w:rPr>
        <w:t xml:space="preserve">Pro poskytovatele zvláštní ambulantní péče poskytované podle § 22 písm. c) zákona se stanoví výše úhrady podle seznamu výkonů úhradou za poskytnuté výkony podle seznamu výkonů s hodnotou bodu ve výši 1,22 Kč. </w:t>
      </w:r>
    </w:p>
    <w:p w14:paraId="6F046282" w14:textId="77777777" w:rsidR="00345A02" w:rsidRPr="00253D0F" w:rsidRDefault="00345A02" w:rsidP="00345A02">
      <w:pPr>
        <w:pStyle w:val="Odstavecseseznamem"/>
        <w:numPr>
          <w:ilvl w:val="0"/>
          <w:numId w:val="10"/>
        </w:numPr>
        <w:rPr>
          <w:rFonts w:ascii="Times New Roman" w:hAnsi="Times New Roman" w:cs="Times New Roman"/>
        </w:rPr>
      </w:pPr>
      <w:r w:rsidRPr="00253D0F">
        <w:rPr>
          <w:rFonts w:ascii="Times New Roman" w:hAnsi="Times New Roman" w:cs="Times New Roman"/>
        </w:rPr>
        <w:t>V případě, že podíl počtu ošetřených a zdravotní pojišťovnou uznaných unikátních pojištěnců v hodnoceném období s některou z diagnóz C00 až C97, E10.3 až E10.7, E11.3 až E11.7, F00 až F99, G09 až G99 nebo I60 až I69 podle mezinárodní klasifikace nemocí na celkovém počtu ošetřených a zdravotní pojišťovnou uznaných unikátních pojištěnců v hodnoceném období překročí 25 %, navyšuje se hodnota bodu o 0,02 Kč.</w:t>
      </w:r>
    </w:p>
    <w:p w14:paraId="089323E6" w14:textId="79C90DF9" w:rsidR="00345A02" w:rsidRPr="009279CD" w:rsidRDefault="00345A02" w:rsidP="00345A02">
      <w:pPr>
        <w:pStyle w:val="Odstavecseseznamem"/>
        <w:numPr>
          <w:ilvl w:val="0"/>
          <w:numId w:val="10"/>
        </w:numPr>
        <w:rPr>
          <w:rFonts w:ascii="Times New Roman" w:hAnsi="Times New Roman" w:cs="Times New Roman"/>
        </w:rPr>
      </w:pPr>
      <w:r w:rsidRPr="00253D0F">
        <w:rPr>
          <w:rFonts w:ascii="Times New Roman" w:hAnsi="Times New Roman" w:cs="Times New Roman"/>
          <w:color w:val="000000"/>
          <w:kern w:val="0"/>
        </w:rPr>
        <w:t>Celková výše úhrady za výkony poskytovateli nepřekročí částku, která se vypočte takto:</w:t>
      </w:r>
    </w:p>
    <w:p w14:paraId="1000258E" w14:textId="3129FB33" w:rsidR="009279CD" w:rsidRPr="00253D0F" w:rsidRDefault="00E82968" w:rsidP="009279CD">
      <w:pPr>
        <w:pStyle w:val="Odstavecseseznamem"/>
        <w:jc w:val="center"/>
        <w:rPr>
          <w:rFonts w:ascii="Times New Roman" w:hAnsi="Times New Roman" w:cs="Times New Roman"/>
        </w:rPr>
      </w:pPr>
      <w:r>
        <w:rPr>
          <w:rFonts w:ascii="Times New Roman" w:hAnsi="Times New Roman" w:cs="Times New Roman"/>
          <w:noProof/>
        </w:rPr>
        <w:drawing>
          <wp:anchor distT="0" distB="0" distL="114300" distR="114300" simplePos="0" relativeHeight="251659264" behindDoc="0" locked="0" layoutInCell="1" allowOverlap="1" wp14:anchorId="3081E991" wp14:editId="3296A32D">
            <wp:simplePos x="0" y="0"/>
            <wp:positionH relativeFrom="margin">
              <wp:align>right</wp:align>
            </wp:positionH>
            <wp:positionV relativeFrom="paragraph">
              <wp:posOffset>69004</wp:posOffset>
            </wp:positionV>
            <wp:extent cx="4868333" cy="485653"/>
            <wp:effectExtent l="0" t="0" r="0" b="0"/>
            <wp:wrapNone/>
            <wp:docPr id="121374062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740624" name="Obrázek 1213740624"/>
                    <pic:cNvPicPr/>
                  </pic:nvPicPr>
                  <pic:blipFill>
                    <a:blip r:embed="rId7">
                      <a:extLst>
                        <a:ext uri="{28A0092B-C50C-407E-A947-70E740481C1C}">
                          <a14:useLocalDpi xmlns:a14="http://schemas.microsoft.com/office/drawing/2010/main" val="0"/>
                        </a:ext>
                      </a:extLst>
                    </a:blip>
                    <a:stretch>
                      <a:fillRect/>
                    </a:stretch>
                  </pic:blipFill>
                  <pic:spPr>
                    <a:xfrm>
                      <a:off x="0" y="0"/>
                      <a:ext cx="4868333" cy="485653"/>
                    </a:xfrm>
                    <a:prstGeom prst="rect">
                      <a:avLst/>
                    </a:prstGeom>
                  </pic:spPr>
                </pic:pic>
              </a:graphicData>
            </a:graphic>
          </wp:anchor>
        </w:drawing>
      </w:r>
    </w:p>
    <w:p w14:paraId="6294FD1B" w14:textId="77777777" w:rsidR="00E82968" w:rsidRDefault="00E82968" w:rsidP="00345A02">
      <w:pPr>
        <w:pStyle w:val="Odstavecseseznamem"/>
        <w:rPr>
          <w:rFonts w:ascii="Times New Roman" w:hAnsi="Times New Roman" w:cs="Times New Roman"/>
          <w:color w:val="000000"/>
          <w:kern w:val="0"/>
        </w:rPr>
      </w:pPr>
    </w:p>
    <w:p w14:paraId="1F0F99AE" w14:textId="77777777" w:rsidR="00E82968" w:rsidRDefault="00E82968" w:rsidP="00345A02">
      <w:pPr>
        <w:pStyle w:val="Odstavecseseznamem"/>
        <w:rPr>
          <w:rFonts w:ascii="Times New Roman" w:hAnsi="Times New Roman" w:cs="Times New Roman"/>
          <w:color w:val="000000"/>
          <w:kern w:val="0"/>
        </w:rPr>
      </w:pPr>
    </w:p>
    <w:p w14:paraId="0FD4ED0C" w14:textId="08BEE97A" w:rsidR="00345A02" w:rsidRPr="00253D0F" w:rsidRDefault="00345A02" w:rsidP="00345A02">
      <w:pPr>
        <w:pStyle w:val="Odstavecseseznamem"/>
        <w:rPr>
          <w:rFonts w:ascii="Times New Roman" w:hAnsi="Times New Roman" w:cs="Times New Roman"/>
          <w:color w:val="000000"/>
          <w:kern w:val="0"/>
        </w:rPr>
      </w:pPr>
      <w:r w:rsidRPr="00253D0F">
        <w:rPr>
          <w:rFonts w:ascii="Times New Roman" w:hAnsi="Times New Roman" w:cs="Times New Roman"/>
          <w:color w:val="000000"/>
          <w:kern w:val="0"/>
        </w:rPr>
        <w:t xml:space="preserve">kde: </w:t>
      </w:r>
    </w:p>
    <w:p w14:paraId="7696AB90" w14:textId="6038FD13" w:rsidR="00345A02" w:rsidRPr="00253D0F" w:rsidRDefault="009279CD" w:rsidP="00345A02">
      <w:pPr>
        <w:pStyle w:val="Odstavecseseznamem"/>
        <w:rPr>
          <w:rFonts w:ascii="Times New Roman" w:hAnsi="Times New Roman" w:cs="Times New Roman"/>
          <w:color w:val="000000"/>
          <w:kern w:val="0"/>
        </w:rPr>
      </w:pPr>
      <w:r>
        <w:rPr>
          <w:rFonts w:ascii="Cambria Math" w:hAnsi="Cambria Math" w:cs="Cambria Math"/>
        </w:rPr>
        <w:t>𝑃𝑈𝑀ℎ𝑜</w:t>
      </w:r>
      <w:r>
        <w:t>,</w:t>
      </w:r>
      <w:r>
        <w:rPr>
          <w:rFonts w:ascii="Cambria Math" w:hAnsi="Cambria Math" w:cs="Cambria Math"/>
        </w:rPr>
        <w:t>𝑗</w:t>
      </w:r>
      <w:r>
        <w:t xml:space="preserve"> </w:t>
      </w:r>
      <w:r>
        <w:tab/>
      </w:r>
      <w:r w:rsidR="00345A02" w:rsidRPr="00345A02">
        <w:rPr>
          <w:rFonts w:ascii="Times New Roman" w:hAnsi="Times New Roman" w:cs="Times New Roman"/>
          <w:color w:val="000000"/>
          <w:kern w:val="0"/>
        </w:rPr>
        <w:t xml:space="preserve">je počet vykázaných kalendářních měsíců, v nichž byly poskytovány unikátnímu pojištěnci </w:t>
      </w:r>
      <w:r w:rsidR="00345A02" w:rsidRPr="00345A02">
        <w:rPr>
          <w:rFonts w:ascii="Times New Roman" w:hAnsi="Times New Roman" w:cs="Times New Roman"/>
          <w:i/>
          <w:iCs/>
          <w:color w:val="000000"/>
          <w:kern w:val="0"/>
        </w:rPr>
        <w:t xml:space="preserve">j </w:t>
      </w:r>
      <w:r w:rsidR="00345A02" w:rsidRPr="00345A02">
        <w:rPr>
          <w:rFonts w:ascii="Times New Roman" w:hAnsi="Times New Roman" w:cs="Times New Roman"/>
          <w:color w:val="000000"/>
          <w:kern w:val="0"/>
        </w:rPr>
        <w:t xml:space="preserve">zdravotní služby v hodnoceném období. </w:t>
      </w:r>
    </w:p>
    <w:p w14:paraId="0D40BB16" w14:textId="28C4C332" w:rsidR="00345A02" w:rsidRPr="00253D0F" w:rsidRDefault="00345A02" w:rsidP="00345A02">
      <w:pPr>
        <w:pStyle w:val="Odstavecseseznamem"/>
        <w:rPr>
          <w:rFonts w:ascii="Times New Roman" w:hAnsi="Times New Roman" w:cs="Times New Roman"/>
          <w:color w:val="000000"/>
          <w:kern w:val="0"/>
        </w:rPr>
      </w:pPr>
      <w:r w:rsidRPr="00345A02">
        <w:rPr>
          <w:rFonts w:ascii="Cambria Math" w:hAnsi="Cambria Math" w:cs="Cambria Math"/>
          <w:color w:val="000000"/>
          <w:kern w:val="0"/>
        </w:rPr>
        <w:lastRenderedPageBreak/>
        <w:t>𝐾𝑁</w:t>
      </w:r>
      <w:r w:rsidRPr="00345A02">
        <w:rPr>
          <w:rFonts w:ascii="Times New Roman" w:hAnsi="Times New Roman" w:cs="Times New Roman"/>
          <w:color w:val="000000"/>
          <w:kern w:val="0"/>
        </w:rPr>
        <w:t xml:space="preserve"> </w:t>
      </w:r>
      <w:r w:rsidR="009279CD">
        <w:rPr>
          <w:rFonts w:ascii="Times New Roman" w:hAnsi="Times New Roman" w:cs="Times New Roman"/>
          <w:color w:val="000000"/>
          <w:kern w:val="0"/>
        </w:rPr>
        <w:tab/>
      </w:r>
      <w:r w:rsidR="009279CD">
        <w:rPr>
          <w:rFonts w:ascii="Times New Roman" w:hAnsi="Times New Roman" w:cs="Times New Roman"/>
          <w:color w:val="000000"/>
          <w:kern w:val="0"/>
        </w:rPr>
        <w:tab/>
      </w:r>
      <w:r w:rsidRPr="00345A02">
        <w:rPr>
          <w:rFonts w:ascii="Times New Roman" w:hAnsi="Times New Roman" w:cs="Times New Roman"/>
          <w:color w:val="000000"/>
          <w:kern w:val="0"/>
        </w:rPr>
        <w:t xml:space="preserve">je koeficient navýšení, který nabývá hodnoty 1,02 v případě, že podíl počtu ošetřených a zdravotní pojišťovnou uznaných unikátních pojištěnců v hodnoceném období s některou z diagnóz C00 až C97, E10.3 až E10.7, E11.3 až E11.7, F00 až F99, G09 až G99 nebo I60 až I69 podle mezinárodní klasifikace nemocí na celkovém počtu ošetřených a zdravotní pojišťovnou uznaných unikátních pojištěnců v hodnoceném období překročí 25 %, a hodnoty 1 v ostatních případech. </w:t>
      </w:r>
    </w:p>
    <w:p w14:paraId="0755F391" w14:textId="35EA3998" w:rsidR="00345A02" w:rsidRPr="00253D0F" w:rsidRDefault="00345A02" w:rsidP="00345A02">
      <w:pPr>
        <w:pStyle w:val="Odstavecseseznamem"/>
        <w:rPr>
          <w:rFonts w:ascii="Times New Roman" w:hAnsi="Times New Roman" w:cs="Times New Roman"/>
          <w:color w:val="000000"/>
          <w:kern w:val="0"/>
        </w:rPr>
      </w:pPr>
      <w:r w:rsidRPr="00345A02">
        <w:rPr>
          <w:rFonts w:ascii="Cambria Math" w:hAnsi="Cambria Math" w:cs="Cambria Math"/>
          <w:color w:val="000000"/>
          <w:kern w:val="0"/>
        </w:rPr>
        <w:t>𝑃𝐵</w:t>
      </w:r>
      <w:r w:rsidRPr="00345A02">
        <w:rPr>
          <w:rFonts w:ascii="Times New Roman" w:hAnsi="Times New Roman" w:cs="Times New Roman"/>
          <w:color w:val="000000"/>
          <w:kern w:val="0"/>
        </w:rPr>
        <w:t>ℎ</w:t>
      </w:r>
      <w:r w:rsidRPr="00345A02">
        <w:rPr>
          <w:rFonts w:ascii="Cambria Math" w:hAnsi="Cambria Math" w:cs="Cambria Math"/>
          <w:color w:val="000000"/>
          <w:kern w:val="0"/>
        </w:rPr>
        <w:t>𝑜</w:t>
      </w:r>
      <w:r w:rsidRPr="00345A02">
        <w:rPr>
          <w:rFonts w:ascii="Times New Roman" w:hAnsi="Times New Roman" w:cs="Times New Roman"/>
          <w:color w:val="000000"/>
          <w:kern w:val="0"/>
        </w:rPr>
        <w:t xml:space="preserve"> </w:t>
      </w:r>
      <w:r w:rsidR="009279CD">
        <w:rPr>
          <w:rFonts w:ascii="Times New Roman" w:hAnsi="Times New Roman" w:cs="Times New Roman"/>
          <w:color w:val="000000"/>
          <w:kern w:val="0"/>
        </w:rPr>
        <w:tab/>
      </w:r>
      <w:r w:rsidR="009279CD">
        <w:rPr>
          <w:rFonts w:ascii="Times New Roman" w:hAnsi="Times New Roman" w:cs="Times New Roman"/>
          <w:color w:val="000000"/>
          <w:kern w:val="0"/>
        </w:rPr>
        <w:tab/>
      </w:r>
      <w:r w:rsidRPr="00345A02">
        <w:rPr>
          <w:rFonts w:ascii="Times New Roman" w:hAnsi="Times New Roman" w:cs="Times New Roman"/>
          <w:color w:val="000000"/>
          <w:kern w:val="0"/>
        </w:rPr>
        <w:t xml:space="preserve">je celkový počet poskytovatelem vykázaných a zdravotní pojišťovnou uznaných bodů v hodnoceném období. </w:t>
      </w:r>
    </w:p>
    <w:p w14:paraId="076DBA7A" w14:textId="792638AC" w:rsidR="00345A02" w:rsidRPr="00253D0F" w:rsidRDefault="00345A02" w:rsidP="00345A02">
      <w:pPr>
        <w:pStyle w:val="Odstavecseseznamem"/>
        <w:rPr>
          <w:rFonts w:ascii="Times New Roman" w:hAnsi="Times New Roman" w:cs="Times New Roman"/>
          <w:color w:val="000000"/>
          <w:kern w:val="0"/>
        </w:rPr>
      </w:pPr>
      <w:r w:rsidRPr="00345A02">
        <w:rPr>
          <w:rFonts w:ascii="Cambria Math" w:hAnsi="Cambria Math" w:cs="Cambria Math"/>
          <w:color w:val="000000"/>
          <w:kern w:val="0"/>
        </w:rPr>
        <w:t>𝐻𝐵𝑚𝑖𝑛</w:t>
      </w:r>
      <w:r w:rsidRPr="00345A02">
        <w:rPr>
          <w:rFonts w:ascii="Times New Roman" w:hAnsi="Times New Roman" w:cs="Times New Roman"/>
          <w:color w:val="000000"/>
          <w:kern w:val="0"/>
        </w:rPr>
        <w:t xml:space="preserve"> </w:t>
      </w:r>
      <w:r w:rsidR="009279CD">
        <w:rPr>
          <w:rFonts w:ascii="Times New Roman" w:hAnsi="Times New Roman" w:cs="Times New Roman"/>
          <w:color w:val="000000"/>
          <w:kern w:val="0"/>
        </w:rPr>
        <w:tab/>
      </w:r>
      <w:r w:rsidRPr="00345A02">
        <w:rPr>
          <w:rFonts w:ascii="Times New Roman" w:hAnsi="Times New Roman" w:cs="Times New Roman"/>
          <w:color w:val="000000"/>
          <w:kern w:val="0"/>
        </w:rPr>
        <w:t xml:space="preserve">je minimální hodnota bodu, která se stanoví ve výši 1,01 Kč. </w:t>
      </w:r>
    </w:p>
    <w:p w14:paraId="179781A9" w14:textId="57F837E3" w:rsidR="00345A02" w:rsidRPr="00253D0F" w:rsidRDefault="00345A02" w:rsidP="00345A02">
      <w:pPr>
        <w:pStyle w:val="Odstavecseseznamem"/>
        <w:rPr>
          <w:rFonts w:ascii="Times New Roman" w:hAnsi="Times New Roman" w:cs="Times New Roman"/>
          <w:color w:val="000000"/>
          <w:kern w:val="0"/>
        </w:rPr>
      </w:pPr>
      <w:r w:rsidRPr="00345A02">
        <w:rPr>
          <w:rFonts w:ascii="Cambria Math" w:hAnsi="Cambria Math" w:cs="Cambria Math"/>
          <w:color w:val="000000"/>
          <w:kern w:val="0"/>
        </w:rPr>
        <w:t>𝐾𝑃</w:t>
      </w:r>
      <w:r w:rsidRPr="00345A02">
        <w:rPr>
          <w:rFonts w:ascii="Times New Roman" w:hAnsi="Times New Roman" w:cs="Times New Roman"/>
          <w:color w:val="000000"/>
          <w:kern w:val="0"/>
        </w:rPr>
        <w:t>ℎ</w:t>
      </w:r>
      <w:r w:rsidRPr="00345A02">
        <w:rPr>
          <w:rFonts w:ascii="Cambria Math" w:hAnsi="Cambria Math" w:cs="Cambria Math"/>
          <w:color w:val="000000"/>
          <w:kern w:val="0"/>
        </w:rPr>
        <w:t>𝑜</w:t>
      </w:r>
      <w:r w:rsidRPr="00345A02">
        <w:rPr>
          <w:rFonts w:ascii="Times New Roman" w:hAnsi="Times New Roman" w:cs="Times New Roman"/>
          <w:color w:val="000000"/>
          <w:kern w:val="0"/>
        </w:rPr>
        <w:t xml:space="preserve"> </w:t>
      </w:r>
      <w:r w:rsidR="009279CD">
        <w:rPr>
          <w:rFonts w:ascii="Times New Roman" w:hAnsi="Times New Roman" w:cs="Times New Roman"/>
          <w:color w:val="000000"/>
          <w:kern w:val="0"/>
        </w:rPr>
        <w:tab/>
      </w:r>
      <w:r w:rsidR="009279CD">
        <w:rPr>
          <w:rFonts w:ascii="Times New Roman" w:hAnsi="Times New Roman" w:cs="Times New Roman"/>
          <w:color w:val="000000"/>
          <w:kern w:val="0"/>
        </w:rPr>
        <w:tab/>
      </w:r>
      <w:r w:rsidRPr="00345A02">
        <w:rPr>
          <w:rFonts w:ascii="Times New Roman" w:hAnsi="Times New Roman" w:cs="Times New Roman"/>
          <w:color w:val="000000"/>
          <w:kern w:val="0"/>
        </w:rPr>
        <w:t xml:space="preserve">je hodnota korunových položek v hodnoceném období. </w:t>
      </w:r>
    </w:p>
    <w:p w14:paraId="2A55F1BC" w14:textId="4E34D89E" w:rsidR="00345A02" w:rsidRPr="00253D0F" w:rsidRDefault="00345A02" w:rsidP="00345A02">
      <w:pPr>
        <w:pStyle w:val="Odstavecseseznamem"/>
        <w:rPr>
          <w:rFonts w:ascii="Times New Roman" w:hAnsi="Times New Roman" w:cs="Times New Roman"/>
          <w:color w:val="000000"/>
          <w:kern w:val="0"/>
        </w:rPr>
      </w:pPr>
      <w:r w:rsidRPr="00345A02">
        <w:rPr>
          <w:rFonts w:ascii="Cambria Math" w:hAnsi="Cambria Math" w:cs="Cambria Math"/>
          <w:color w:val="000000"/>
          <w:kern w:val="0"/>
        </w:rPr>
        <w:t>𝑚𝑎𝑥</w:t>
      </w:r>
      <w:r w:rsidRPr="00345A02">
        <w:rPr>
          <w:rFonts w:ascii="Times New Roman" w:hAnsi="Times New Roman" w:cs="Times New Roman"/>
          <w:color w:val="000000"/>
          <w:kern w:val="0"/>
        </w:rPr>
        <w:t xml:space="preserve"> </w:t>
      </w:r>
      <w:r w:rsidR="009279CD">
        <w:rPr>
          <w:rFonts w:ascii="Times New Roman" w:hAnsi="Times New Roman" w:cs="Times New Roman"/>
          <w:color w:val="000000"/>
          <w:kern w:val="0"/>
        </w:rPr>
        <w:tab/>
      </w:r>
      <w:r w:rsidR="009279CD">
        <w:rPr>
          <w:rFonts w:ascii="Times New Roman" w:hAnsi="Times New Roman" w:cs="Times New Roman"/>
          <w:color w:val="000000"/>
          <w:kern w:val="0"/>
        </w:rPr>
        <w:tab/>
      </w:r>
      <w:r w:rsidRPr="00345A02">
        <w:rPr>
          <w:rFonts w:ascii="Times New Roman" w:hAnsi="Times New Roman" w:cs="Times New Roman"/>
          <w:color w:val="000000"/>
          <w:kern w:val="0"/>
        </w:rPr>
        <w:t xml:space="preserve">funkce maximum, která vybere z oboru hodnot hodnotu nejvyšší. </w:t>
      </w:r>
    </w:p>
    <w:p w14:paraId="3E277BC2" w14:textId="74E209C5" w:rsidR="00345A02" w:rsidRPr="00253D0F" w:rsidRDefault="00345A02" w:rsidP="00345A02">
      <w:pPr>
        <w:pStyle w:val="Odstavecseseznamem"/>
        <w:rPr>
          <w:rFonts w:ascii="Times New Roman" w:hAnsi="Times New Roman" w:cs="Times New Roman"/>
          <w:color w:val="000000"/>
          <w:kern w:val="0"/>
        </w:rPr>
      </w:pPr>
      <w:r w:rsidRPr="00345A02">
        <w:rPr>
          <w:rFonts w:ascii="Times New Roman" w:hAnsi="Times New Roman" w:cs="Times New Roman"/>
          <w:i/>
          <w:iCs/>
          <w:color w:val="000000"/>
          <w:kern w:val="0"/>
        </w:rPr>
        <w:t xml:space="preserve">j </w:t>
      </w:r>
      <w:r w:rsidR="009279CD">
        <w:rPr>
          <w:rFonts w:ascii="Times New Roman" w:hAnsi="Times New Roman" w:cs="Times New Roman"/>
          <w:i/>
          <w:iCs/>
          <w:color w:val="000000"/>
          <w:kern w:val="0"/>
        </w:rPr>
        <w:tab/>
      </w:r>
      <w:r w:rsidR="009279CD">
        <w:rPr>
          <w:rFonts w:ascii="Times New Roman" w:hAnsi="Times New Roman" w:cs="Times New Roman"/>
          <w:i/>
          <w:iCs/>
          <w:color w:val="000000"/>
          <w:kern w:val="0"/>
        </w:rPr>
        <w:tab/>
      </w:r>
      <w:r w:rsidRPr="00345A02">
        <w:rPr>
          <w:rFonts w:ascii="Times New Roman" w:hAnsi="Times New Roman" w:cs="Times New Roman"/>
          <w:color w:val="000000"/>
          <w:kern w:val="0"/>
        </w:rPr>
        <w:t xml:space="preserve">nabývá hodnot 1 až </w:t>
      </w:r>
      <w:r w:rsidRPr="00345A02">
        <w:rPr>
          <w:rFonts w:ascii="Times New Roman" w:hAnsi="Times New Roman" w:cs="Times New Roman"/>
          <w:i/>
          <w:iCs/>
          <w:color w:val="000000"/>
          <w:kern w:val="0"/>
        </w:rPr>
        <w:t>m</w:t>
      </w:r>
      <w:r w:rsidRPr="00345A02">
        <w:rPr>
          <w:rFonts w:ascii="Times New Roman" w:hAnsi="Times New Roman" w:cs="Times New Roman"/>
          <w:color w:val="000000"/>
          <w:kern w:val="0"/>
        </w:rPr>
        <w:t xml:space="preserve">, kde </w:t>
      </w:r>
      <w:r w:rsidRPr="00345A02">
        <w:rPr>
          <w:rFonts w:ascii="Times New Roman" w:hAnsi="Times New Roman" w:cs="Times New Roman"/>
          <w:i/>
          <w:iCs/>
          <w:color w:val="000000"/>
          <w:kern w:val="0"/>
        </w:rPr>
        <w:t xml:space="preserve">m </w:t>
      </w:r>
      <w:r w:rsidRPr="00345A02">
        <w:rPr>
          <w:rFonts w:ascii="Times New Roman" w:hAnsi="Times New Roman" w:cs="Times New Roman"/>
          <w:color w:val="000000"/>
          <w:kern w:val="0"/>
        </w:rPr>
        <w:t xml:space="preserve">je počet unikátních pojištěnců ošetřených v hodnoceném období. </w:t>
      </w:r>
    </w:p>
    <w:p w14:paraId="0BC39FBD" w14:textId="75E18295" w:rsidR="00345A02" w:rsidRDefault="00535404" w:rsidP="00345A02">
      <w:pPr>
        <w:pStyle w:val="Odstavecseseznamem"/>
        <w:rPr>
          <w:rFonts w:ascii="Times New Roman" w:hAnsi="Times New Roman" w:cs="Times New Roman"/>
          <w:color w:val="000000"/>
          <w:kern w:val="0"/>
        </w:rPr>
      </w:pPr>
      <w:r>
        <w:rPr>
          <w:rFonts w:ascii="Times New Roman" w:hAnsi="Times New Roman" w:cs="Times New Roman"/>
          <w:noProof/>
          <w:color w:val="000000"/>
          <w:kern w:val="0"/>
        </w:rPr>
        <w:drawing>
          <wp:anchor distT="0" distB="0" distL="114300" distR="114300" simplePos="0" relativeHeight="251658240" behindDoc="0" locked="0" layoutInCell="1" allowOverlap="1" wp14:anchorId="588EDD5E" wp14:editId="39D77A4C">
            <wp:simplePos x="0" y="0"/>
            <wp:positionH relativeFrom="column">
              <wp:posOffset>1902248</wp:posOffset>
            </wp:positionH>
            <wp:positionV relativeFrom="paragraph">
              <wp:posOffset>167640</wp:posOffset>
            </wp:positionV>
            <wp:extent cx="1871134" cy="686310"/>
            <wp:effectExtent l="0" t="0" r="0" b="0"/>
            <wp:wrapNone/>
            <wp:docPr id="1991039088" name="Obrázek 1" descr="Obsah obrázku text, Písmo, bílé, rukopis&#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039088" name="Obrázek 1" descr="Obsah obrázku text, Písmo, bílé, rukopis&#10;&#10;Obsah vygenerovaný umělou inteligencí může být nesprávný."/>
                    <pic:cNvPicPr/>
                  </pic:nvPicPr>
                  <pic:blipFill>
                    <a:blip r:embed="rId8">
                      <a:extLst>
                        <a:ext uri="{28A0092B-C50C-407E-A947-70E740481C1C}">
                          <a14:useLocalDpi xmlns:a14="http://schemas.microsoft.com/office/drawing/2010/main" val="0"/>
                        </a:ext>
                      </a:extLst>
                    </a:blip>
                    <a:stretch>
                      <a:fillRect/>
                    </a:stretch>
                  </pic:blipFill>
                  <pic:spPr>
                    <a:xfrm>
                      <a:off x="0" y="0"/>
                      <a:ext cx="1871134" cy="686310"/>
                    </a:xfrm>
                    <a:prstGeom prst="rect">
                      <a:avLst/>
                    </a:prstGeom>
                  </pic:spPr>
                </pic:pic>
              </a:graphicData>
            </a:graphic>
            <wp14:sizeRelH relativeFrom="margin">
              <wp14:pctWidth>0</wp14:pctWidth>
            </wp14:sizeRelH>
            <wp14:sizeRelV relativeFrom="margin">
              <wp14:pctHeight>0</wp14:pctHeight>
            </wp14:sizeRelV>
          </wp:anchor>
        </w:drawing>
      </w:r>
      <w:r w:rsidR="00345A02" w:rsidRPr="00345A02">
        <w:rPr>
          <w:rFonts w:ascii="Cambria Math" w:hAnsi="Cambria Math" w:cs="Cambria Math"/>
          <w:color w:val="000000"/>
          <w:kern w:val="0"/>
        </w:rPr>
        <w:t>𝑃𝑀𝑈𝑃𝑟𝑒𝑓</w:t>
      </w:r>
      <w:r w:rsidR="00345A02" w:rsidRPr="00345A02">
        <w:rPr>
          <w:rFonts w:ascii="Times New Roman" w:hAnsi="Times New Roman" w:cs="Times New Roman"/>
          <w:color w:val="000000"/>
          <w:kern w:val="0"/>
        </w:rPr>
        <w:t xml:space="preserve"> </w:t>
      </w:r>
      <w:r w:rsidR="009279CD">
        <w:rPr>
          <w:rFonts w:ascii="Times New Roman" w:hAnsi="Times New Roman" w:cs="Times New Roman"/>
          <w:color w:val="000000"/>
          <w:kern w:val="0"/>
        </w:rPr>
        <w:tab/>
      </w:r>
      <w:r w:rsidR="00345A02" w:rsidRPr="00345A02">
        <w:rPr>
          <w:rFonts w:ascii="Times New Roman" w:hAnsi="Times New Roman" w:cs="Times New Roman"/>
          <w:color w:val="000000"/>
          <w:kern w:val="0"/>
        </w:rPr>
        <w:t>je průměrná měsíční úhrada za unikátního pojištěnce v referenčním období vypočtená jako:</w:t>
      </w:r>
    </w:p>
    <w:p w14:paraId="06BA5597" w14:textId="77777777" w:rsidR="00535404" w:rsidRPr="00253D0F" w:rsidRDefault="00535404" w:rsidP="00345A02">
      <w:pPr>
        <w:pStyle w:val="Odstavecseseznamem"/>
        <w:rPr>
          <w:rFonts w:ascii="Times New Roman" w:hAnsi="Times New Roman" w:cs="Times New Roman"/>
          <w:color w:val="000000"/>
          <w:kern w:val="0"/>
        </w:rPr>
      </w:pPr>
    </w:p>
    <w:p w14:paraId="3B87A60C" w14:textId="77777777" w:rsidR="00535404" w:rsidRDefault="00535404" w:rsidP="00345A02">
      <w:pPr>
        <w:pStyle w:val="Odstavecseseznamem"/>
        <w:rPr>
          <w:rFonts w:ascii="Times New Roman" w:hAnsi="Times New Roman" w:cs="Times New Roman"/>
          <w:color w:val="000000"/>
          <w:kern w:val="0"/>
        </w:rPr>
      </w:pPr>
    </w:p>
    <w:p w14:paraId="6AD3DC77" w14:textId="675B7AEC" w:rsidR="00345A02" w:rsidRPr="00253D0F" w:rsidRDefault="00345A02" w:rsidP="00345A02">
      <w:pPr>
        <w:pStyle w:val="Odstavecseseznamem"/>
        <w:rPr>
          <w:rFonts w:ascii="Times New Roman" w:hAnsi="Times New Roman" w:cs="Times New Roman"/>
          <w:color w:val="000000"/>
          <w:kern w:val="0"/>
        </w:rPr>
      </w:pPr>
      <w:r w:rsidRPr="00345A02">
        <w:rPr>
          <w:rFonts w:ascii="Times New Roman" w:hAnsi="Times New Roman" w:cs="Times New Roman"/>
          <w:color w:val="000000"/>
          <w:kern w:val="0"/>
        </w:rPr>
        <w:t xml:space="preserve">kde: </w:t>
      </w:r>
    </w:p>
    <w:p w14:paraId="5CBDB405" w14:textId="26D1D562" w:rsidR="00345A02" w:rsidRPr="00253D0F" w:rsidRDefault="00345A02" w:rsidP="00345A02">
      <w:pPr>
        <w:pStyle w:val="Odstavecseseznamem"/>
        <w:rPr>
          <w:rFonts w:ascii="Times New Roman" w:hAnsi="Times New Roman" w:cs="Times New Roman"/>
          <w:color w:val="000000"/>
          <w:kern w:val="0"/>
        </w:rPr>
      </w:pPr>
      <w:r w:rsidRPr="00345A02">
        <w:rPr>
          <w:rFonts w:ascii="Cambria Math" w:hAnsi="Cambria Math" w:cs="Cambria Math"/>
          <w:color w:val="000000"/>
          <w:kern w:val="0"/>
        </w:rPr>
        <w:t>𝑈</w:t>
      </w:r>
      <w:r w:rsidRPr="00345A02">
        <w:rPr>
          <w:rFonts w:ascii="Times New Roman" w:hAnsi="Times New Roman" w:cs="Times New Roman"/>
          <w:color w:val="000000"/>
          <w:kern w:val="0"/>
        </w:rPr>
        <w:t>ℎ</w:t>
      </w:r>
      <w:r w:rsidRPr="00345A02">
        <w:rPr>
          <w:rFonts w:ascii="Cambria Math" w:hAnsi="Cambria Math" w:cs="Cambria Math"/>
          <w:color w:val="000000"/>
          <w:kern w:val="0"/>
        </w:rPr>
        <w:t>𝑟𝑟𝑒𝑓</w:t>
      </w:r>
      <w:r w:rsidRPr="00345A02">
        <w:rPr>
          <w:rFonts w:ascii="Times New Roman" w:hAnsi="Times New Roman" w:cs="Times New Roman"/>
          <w:color w:val="000000"/>
          <w:kern w:val="0"/>
        </w:rPr>
        <w:t xml:space="preserve"> </w:t>
      </w:r>
      <w:r w:rsidR="009279CD">
        <w:rPr>
          <w:rFonts w:ascii="Times New Roman" w:hAnsi="Times New Roman" w:cs="Times New Roman"/>
          <w:color w:val="000000"/>
          <w:kern w:val="0"/>
        </w:rPr>
        <w:tab/>
      </w:r>
      <w:r w:rsidRPr="00345A02">
        <w:rPr>
          <w:rFonts w:ascii="Times New Roman" w:hAnsi="Times New Roman" w:cs="Times New Roman"/>
          <w:color w:val="000000"/>
          <w:kern w:val="0"/>
        </w:rPr>
        <w:t xml:space="preserve">je celková úhrada poskytovateli za výkony, včetně zvlášť účtovaného materiálu a zvlášť účtovaných léčivých přípravků v referenčním období. </w:t>
      </w:r>
    </w:p>
    <w:p w14:paraId="74B00824" w14:textId="5AF3C4E6" w:rsidR="00345A02" w:rsidRPr="00253D0F" w:rsidRDefault="00345A02" w:rsidP="00345A02">
      <w:pPr>
        <w:pStyle w:val="Odstavecseseznamem"/>
        <w:rPr>
          <w:rFonts w:ascii="Times New Roman" w:hAnsi="Times New Roman" w:cs="Times New Roman"/>
          <w:color w:val="000000"/>
          <w:kern w:val="0"/>
        </w:rPr>
      </w:pPr>
      <w:r w:rsidRPr="00345A02">
        <w:rPr>
          <w:rFonts w:ascii="Cambria Math" w:hAnsi="Cambria Math" w:cs="Cambria Math"/>
          <w:color w:val="000000"/>
          <w:kern w:val="0"/>
        </w:rPr>
        <w:t>𝑃𝑈𝑀𝑟𝑒𝑓</w:t>
      </w:r>
      <w:r w:rsidRPr="00345A02">
        <w:rPr>
          <w:rFonts w:ascii="Times New Roman" w:hAnsi="Times New Roman" w:cs="Times New Roman"/>
          <w:color w:val="000000"/>
          <w:kern w:val="0"/>
        </w:rPr>
        <w:t>,</w:t>
      </w:r>
      <w:r w:rsidRPr="00345A02">
        <w:rPr>
          <w:rFonts w:ascii="Cambria Math" w:hAnsi="Cambria Math" w:cs="Cambria Math"/>
          <w:color w:val="000000"/>
          <w:kern w:val="0"/>
        </w:rPr>
        <w:t>𝑖</w:t>
      </w:r>
      <w:r w:rsidRPr="00345A02">
        <w:rPr>
          <w:rFonts w:ascii="Times New Roman" w:hAnsi="Times New Roman" w:cs="Times New Roman"/>
          <w:color w:val="000000"/>
          <w:kern w:val="0"/>
        </w:rPr>
        <w:t xml:space="preserve"> </w:t>
      </w:r>
      <w:r w:rsidR="009279CD">
        <w:rPr>
          <w:rFonts w:ascii="Times New Roman" w:hAnsi="Times New Roman" w:cs="Times New Roman"/>
          <w:color w:val="000000"/>
          <w:kern w:val="0"/>
        </w:rPr>
        <w:tab/>
      </w:r>
      <w:r w:rsidRPr="00345A02">
        <w:rPr>
          <w:rFonts w:ascii="Times New Roman" w:hAnsi="Times New Roman" w:cs="Times New Roman"/>
          <w:color w:val="000000"/>
          <w:kern w:val="0"/>
        </w:rPr>
        <w:t xml:space="preserve">je počet vykázaných kalendářních měsíců, v nichž byly poskytovány unikátnímu pojištěnci </w:t>
      </w:r>
      <w:r w:rsidRPr="00345A02">
        <w:rPr>
          <w:rFonts w:ascii="Times New Roman" w:hAnsi="Times New Roman" w:cs="Times New Roman"/>
          <w:i/>
          <w:iCs/>
          <w:color w:val="000000"/>
          <w:kern w:val="0"/>
        </w:rPr>
        <w:t xml:space="preserve">i </w:t>
      </w:r>
      <w:r w:rsidRPr="00345A02">
        <w:rPr>
          <w:rFonts w:ascii="Times New Roman" w:hAnsi="Times New Roman" w:cs="Times New Roman"/>
          <w:color w:val="000000"/>
          <w:kern w:val="0"/>
        </w:rPr>
        <w:t xml:space="preserve">zdravotní služby v referenčním období. </w:t>
      </w:r>
    </w:p>
    <w:p w14:paraId="2035559A" w14:textId="22EED160" w:rsidR="00345A02" w:rsidRPr="00253D0F" w:rsidRDefault="00345A02" w:rsidP="00345A02">
      <w:pPr>
        <w:pStyle w:val="Odstavecseseznamem"/>
        <w:rPr>
          <w:rFonts w:ascii="Times New Roman" w:hAnsi="Times New Roman" w:cs="Times New Roman"/>
          <w:color w:val="000000"/>
          <w:kern w:val="0"/>
        </w:rPr>
      </w:pPr>
      <w:r w:rsidRPr="00345A02">
        <w:rPr>
          <w:rFonts w:ascii="Times New Roman" w:hAnsi="Times New Roman" w:cs="Times New Roman"/>
          <w:i/>
          <w:iCs/>
          <w:color w:val="000000"/>
          <w:kern w:val="0"/>
        </w:rPr>
        <w:t xml:space="preserve">i </w:t>
      </w:r>
      <w:r w:rsidR="009279CD">
        <w:rPr>
          <w:rFonts w:ascii="Times New Roman" w:hAnsi="Times New Roman" w:cs="Times New Roman"/>
          <w:i/>
          <w:iCs/>
          <w:color w:val="000000"/>
          <w:kern w:val="0"/>
        </w:rPr>
        <w:tab/>
      </w:r>
      <w:r w:rsidR="009279CD">
        <w:rPr>
          <w:rFonts w:ascii="Times New Roman" w:hAnsi="Times New Roman" w:cs="Times New Roman"/>
          <w:i/>
          <w:iCs/>
          <w:color w:val="000000"/>
          <w:kern w:val="0"/>
        </w:rPr>
        <w:tab/>
      </w:r>
      <w:r w:rsidRPr="00345A02">
        <w:rPr>
          <w:rFonts w:ascii="Times New Roman" w:hAnsi="Times New Roman" w:cs="Times New Roman"/>
          <w:color w:val="000000"/>
          <w:kern w:val="0"/>
        </w:rPr>
        <w:t xml:space="preserve">nabývá hodnot 1 až </w:t>
      </w:r>
      <w:r w:rsidRPr="00345A02">
        <w:rPr>
          <w:rFonts w:ascii="Times New Roman" w:hAnsi="Times New Roman" w:cs="Times New Roman"/>
          <w:i/>
          <w:iCs/>
          <w:color w:val="000000"/>
          <w:kern w:val="0"/>
        </w:rPr>
        <w:t>n</w:t>
      </w:r>
      <w:r w:rsidRPr="00345A02">
        <w:rPr>
          <w:rFonts w:ascii="Times New Roman" w:hAnsi="Times New Roman" w:cs="Times New Roman"/>
          <w:color w:val="000000"/>
          <w:kern w:val="0"/>
        </w:rPr>
        <w:t xml:space="preserve">, kde </w:t>
      </w:r>
      <w:r w:rsidRPr="00345A02">
        <w:rPr>
          <w:rFonts w:ascii="Times New Roman" w:hAnsi="Times New Roman" w:cs="Times New Roman"/>
          <w:i/>
          <w:iCs/>
          <w:color w:val="000000"/>
          <w:kern w:val="0"/>
        </w:rPr>
        <w:t xml:space="preserve">n </w:t>
      </w:r>
      <w:r w:rsidRPr="00345A02">
        <w:rPr>
          <w:rFonts w:ascii="Times New Roman" w:hAnsi="Times New Roman" w:cs="Times New Roman"/>
          <w:color w:val="000000"/>
          <w:kern w:val="0"/>
        </w:rPr>
        <w:t>je počet unikátních pojištěnců ošetřených v referenčním období.</w:t>
      </w:r>
    </w:p>
    <w:p w14:paraId="7D8EAB72" w14:textId="5F2C0C5A" w:rsidR="00345A02" w:rsidRPr="00253D0F" w:rsidRDefault="0049550F" w:rsidP="00345A02">
      <w:pPr>
        <w:pStyle w:val="Odstavecseseznamem"/>
        <w:numPr>
          <w:ilvl w:val="0"/>
          <w:numId w:val="10"/>
        </w:numPr>
        <w:rPr>
          <w:rFonts w:ascii="Times New Roman" w:hAnsi="Times New Roman" w:cs="Times New Roman"/>
        </w:rPr>
      </w:pPr>
      <w:r w:rsidRPr="00253D0F">
        <w:rPr>
          <w:rFonts w:ascii="Times New Roman" w:hAnsi="Times New Roman" w:cs="Times New Roman"/>
        </w:rPr>
        <w:t>U poskytovatele, u kterého nelze výši hodnot referenčního období stanovit z důvodu, že poskytovatel v průběhu referenčního období hrazené služby neposkytoval, nebo poskytovatel vykázal v referenčním období méně než 3 kalendářní měsíce, v nichž byly poskytovány unikátním pojištěncům příslušné zdravotní pojišťovny hrazené služby, použije zdravotní pojišťovna pro účely výpočtu celkové výše úhrady referenčního období srovnatelných poskytovatelů. V případě, že poskytovatel v referenčním období vykázal alespoň 3 kalendářní měsíce, v nichž byly unikátním pojištěncům příslušné zdravotní pojišťovny poskytovány hrazené služby, použije zdravotní pojišťovna pro účely výpočtu celkové výše úhrady údaje za ty měsíce referenčního období, kdy byly hrazené služby poskytovány.</w:t>
      </w:r>
    </w:p>
    <w:p w14:paraId="11FE7FE1" w14:textId="1D9BBC4B" w:rsidR="0049550F" w:rsidRPr="00253D0F" w:rsidRDefault="0049550F" w:rsidP="00345A02">
      <w:pPr>
        <w:pStyle w:val="Odstavecseseznamem"/>
        <w:numPr>
          <w:ilvl w:val="0"/>
          <w:numId w:val="10"/>
        </w:numPr>
        <w:rPr>
          <w:rFonts w:ascii="Times New Roman" w:hAnsi="Times New Roman" w:cs="Times New Roman"/>
        </w:rPr>
      </w:pPr>
      <w:r w:rsidRPr="00253D0F">
        <w:rPr>
          <w:rFonts w:ascii="Times New Roman" w:hAnsi="Times New Roman" w:cs="Times New Roman"/>
        </w:rPr>
        <w:t>Pokud poskytovatel poskytl v hodnoceném období nebo v referenčním období hrazené služby 30 a méně pojištěncům příslušné zdravotní pojišťovny, výpočet celkové výše úhrady podle písmene d) se nepoužije.</w:t>
      </w:r>
    </w:p>
    <w:p w14:paraId="00929418" w14:textId="124D93D7" w:rsidR="0049550F" w:rsidRPr="00253D0F" w:rsidRDefault="0049550F" w:rsidP="00345A02">
      <w:pPr>
        <w:pStyle w:val="Odstavecseseznamem"/>
        <w:numPr>
          <w:ilvl w:val="0"/>
          <w:numId w:val="10"/>
        </w:numPr>
        <w:rPr>
          <w:rFonts w:ascii="Times New Roman" w:hAnsi="Times New Roman" w:cs="Times New Roman"/>
        </w:rPr>
      </w:pPr>
      <w:r w:rsidRPr="00253D0F">
        <w:rPr>
          <w:rFonts w:ascii="Times New Roman" w:hAnsi="Times New Roman" w:cs="Times New Roman"/>
        </w:rPr>
        <w:t>Pro hrazené služby poskytované zahraničním pojištěncům se stanoví hodnota bodu ve výši 1,24 Kč a výpočet celkové výše úhrady podle písmene d) se nepoužije.</w:t>
      </w:r>
    </w:p>
    <w:p w14:paraId="793B737A" w14:textId="08493F73" w:rsidR="0049550F" w:rsidRPr="00253D0F" w:rsidRDefault="0049550F" w:rsidP="00345A02">
      <w:pPr>
        <w:pStyle w:val="Odstavecseseznamem"/>
        <w:numPr>
          <w:ilvl w:val="0"/>
          <w:numId w:val="10"/>
        </w:numPr>
        <w:rPr>
          <w:rFonts w:ascii="Times New Roman" w:hAnsi="Times New Roman" w:cs="Times New Roman"/>
        </w:rPr>
      </w:pPr>
      <w:r w:rsidRPr="00253D0F">
        <w:rPr>
          <w:rFonts w:ascii="Times New Roman" w:hAnsi="Times New Roman" w:cs="Times New Roman"/>
        </w:rPr>
        <w:t>Změny v rozsahu a struktuře poskytovaných hrazených služeb ve srovnání s referenčním obdobím se sjednají ve smlouvě mezi poskytovatelem a zdravotní pojišťovnou včetně souvisejících změn ve výpočtu úhrad.</w:t>
      </w:r>
    </w:p>
    <w:p w14:paraId="7C3F3BBD" w14:textId="5F110851" w:rsidR="0049550F" w:rsidRPr="00253D0F" w:rsidRDefault="0049550F" w:rsidP="00345A02">
      <w:pPr>
        <w:pStyle w:val="Odstavecseseznamem"/>
        <w:numPr>
          <w:ilvl w:val="0"/>
          <w:numId w:val="10"/>
        </w:numPr>
        <w:rPr>
          <w:rFonts w:ascii="Times New Roman" w:hAnsi="Times New Roman" w:cs="Times New Roman"/>
        </w:rPr>
      </w:pPr>
      <w:r w:rsidRPr="00253D0F">
        <w:rPr>
          <w:rFonts w:ascii="Times New Roman" w:hAnsi="Times New Roman" w:cs="Times New Roman"/>
        </w:rPr>
        <w:t>Měsíční předběžná úhrada se poskytne poskytovateli ve výši jedné dvanáctiny 118 % úhrady referenčního období. Předběžná úhrada za hodnocené období se finančně vypořádá v rámci celkového finančního vypořádání, včetně regulačních omezení, a to nejpozději do 180 dnů po dni skončení hodnoceného období.</w:t>
      </w:r>
    </w:p>
    <w:p w14:paraId="22A98EA2" w14:textId="77777777" w:rsidR="00345A02" w:rsidRPr="00345A02" w:rsidRDefault="00345A02" w:rsidP="00345A02">
      <w:pPr>
        <w:pStyle w:val="Odstavecseseznamem"/>
        <w:rPr>
          <w:rFonts w:ascii="Times New Roman" w:hAnsi="Times New Roman" w:cs="Times New Roman"/>
          <w:sz w:val="23"/>
          <w:szCs w:val="23"/>
        </w:rPr>
      </w:pPr>
    </w:p>
    <w:p w14:paraId="58FABC1E" w14:textId="77777777" w:rsidR="00012D34" w:rsidRPr="00345A02" w:rsidRDefault="00012D34" w:rsidP="00012D34">
      <w:pPr>
        <w:pStyle w:val="Odstavecseseznamem"/>
        <w:rPr>
          <w:rFonts w:ascii="Times New Roman" w:hAnsi="Times New Roman" w:cs="Times New Roman"/>
          <w:sz w:val="23"/>
          <w:szCs w:val="23"/>
        </w:rPr>
      </w:pPr>
    </w:p>
    <w:sectPr w:rsidR="00012D34" w:rsidRPr="00345A0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4D59B" w14:textId="77777777" w:rsidR="000D66A3" w:rsidRDefault="000D66A3" w:rsidP="000D66A3">
      <w:pPr>
        <w:spacing w:after="0" w:line="240" w:lineRule="auto"/>
      </w:pPr>
      <w:r>
        <w:separator/>
      </w:r>
    </w:p>
  </w:endnote>
  <w:endnote w:type="continuationSeparator" w:id="0">
    <w:p w14:paraId="162B38AA" w14:textId="77777777" w:rsidR="000D66A3" w:rsidRDefault="000D66A3" w:rsidP="000D6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449596"/>
      <w:docPartObj>
        <w:docPartGallery w:val="Page Numbers (Bottom of Page)"/>
        <w:docPartUnique/>
      </w:docPartObj>
    </w:sdtPr>
    <w:sdtEndPr/>
    <w:sdtContent>
      <w:p w14:paraId="5616B564" w14:textId="43B5254C" w:rsidR="000D66A3" w:rsidRDefault="000D66A3">
        <w:pPr>
          <w:pStyle w:val="Zpat"/>
          <w:jc w:val="right"/>
        </w:pPr>
        <w:r>
          <w:fldChar w:fldCharType="begin"/>
        </w:r>
        <w:r>
          <w:instrText>PAGE   \* MERGEFORMAT</w:instrText>
        </w:r>
        <w:r>
          <w:fldChar w:fldCharType="separate"/>
        </w:r>
        <w:r>
          <w:t>2</w:t>
        </w:r>
        <w:r>
          <w:fldChar w:fldCharType="end"/>
        </w:r>
      </w:p>
    </w:sdtContent>
  </w:sdt>
  <w:p w14:paraId="5C4F0EA9" w14:textId="77777777" w:rsidR="000D66A3" w:rsidRDefault="000D66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52CD9" w14:textId="77777777" w:rsidR="000D66A3" w:rsidRDefault="000D66A3" w:rsidP="000D66A3">
      <w:pPr>
        <w:spacing w:after="0" w:line="240" w:lineRule="auto"/>
      </w:pPr>
      <w:r>
        <w:separator/>
      </w:r>
    </w:p>
  </w:footnote>
  <w:footnote w:type="continuationSeparator" w:id="0">
    <w:p w14:paraId="31E707C8" w14:textId="77777777" w:rsidR="000D66A3" w:rsidRDefault="000D66A3" w:rsidP="000D66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429D" w14:textId="6B0CDBB3" w:rsidR="00F267C9" w:rsidRDefault="00F267C9">
    <w:pPr>
      <w:pStyle w:val="Zhlav"/>
    </w:pPr>
    <w:r>
      <w:t>Příloha č. 3 k protokolu z DŘ 2026 ve skupině poskytovatelů následné lůžkové péče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933B5EA"/>
    <w:multiLevelType w:val="multilevel"/>
    <w:tmpl w:val="FFFFFFFF"/>
    <w:lvl w:ilvl="0">
      <w:start w:val="1"/>
      <w:numFmt w:val="ideographDigital"/>
      <w:lvlText w:val=""/>
      <w:lvlJc w:val="left"/>
    </w:lvl>
    <w:lvl w:ilvl="1">
      <w:start w:val="1"/>
      <w:numFmt w:val="lowerLetter"/>
      <w:lvlText w:val=""/>
      <w:lvlJc w:val="left"/>
    </w:lvl>
    <w:lvl w:ilvl="2">
      <w:start w:val="1"/>
      <w:numFmt w:val="lowerRoman"/>
      <w:lvlText w:val="%1"/>
      <w:lvlJc w:val="left"/>
    </w:lvl>
    <w:lvl w:ilvl="3">
      <w:start w:val="1"/>
      <w:numFmt w:val="ideographDigit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D7568"/>
    <w:multiLevelType w:val="hybridMultilevel"/>
    <w:tmpl w:val="E0D85BA6"/>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81208"/>
    <w:multiLevelType w:val="hybridMultilevel"/>
    <w:tmpl w:val="23B06C58"/>
    <w:lvl w:ilvl="0" w:tplc="04050017">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1">
      <w:start w:val="1"/>
      <w:numFmt w:val="decimal"/>
      <w:lvlText w:val="%3)"/>
      <w:lvlJc w:val="left"/>
      <w:pPr>
        <w:ind w:left="2340" w:hanging="36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D482C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51A0437"/>
    <w:multiLevelType w:val="hybridMultilevel"/>
    <w:tmpl w:val="23B06C58"/>
    <w:lvl w:ilvl="0" w:tplc="FFFFFFFF">
      <w:start w:val="1"/>
      <w:numFmt w:val="lowerLetter"/>
      <w:lvlText w:val="%1)"/>
      <w:lvlJc w:val="left"/>
      <w:pPr>
        <w:ind w:left="720" w:hanging="360"/>
      </w:pPr>
      <w:rPr>
        <w:rFonts w:hint="default"/>
      </w:rPr>
    </w:lvl>
    <w:lvl w:ilvl="1" w:tplc="FFFFFFFF">
      <w:start w:val="1"/>
      <w:numFmt w:val="lowerRoman"/>
      <w:lvlText w:val="%2."/>
      <w:lvlJc w:val="right"/>
      <w:pPr>
        <w:ind w:left="1440" w:hanging="360"/>
      </w:pPr>
    </w:lvl>
    <w:lvl w:ilvl="2" w:tplc="FFFFFFF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61F87D"/>
    <w:multiLevelType w:val="multilevel"/>
    <w:tmpl w:val="FFFFFFFF"/>
    <w:lvl w:ilvl="0">
      <w:start w:val="1"/>
      <w:numFmt w:val="ideographDigital"/>
      <w:lvlText w:val=""/>
      <w:lvlJc w:val="left"/>
    </w:lvl>
    <w:lvl w:ilvl="1">
      <w:start w:val="1"/>
      <w:numFmt w:val="lowerLetter"/>
      <w:lvlText w:val=""/>
      <w:lvlJc w:val="left"/>
    </w:lvl>
    <w:lvl w:ilvl="2">
      <w:start w:val="1"/>
      <w:numFmt w:val="lowerRoman"/>
      <w:lvlText w:val="%1"/>
      <w:lvlJc w:val="left"/>
    </w:lvl>
    <w:lvl w:ilvl="3">
      <w:start w:val="1"/>
      <w:numFmt w:val="ideographDigit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7738D3"/>
    <w:multiLevelType w:val="hybridMultilevel"/>
    <w:tmpl w:val="69ECEF6A"/>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5347DB9"/>
    <w:multiLevelType w:val="hybridMultilevel"/>
    <w:tmpl w:val="EF506FCE"/>
    <w:lvl w:ilvl="0" w:tplc="FFFFFFFF">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62216151"/>
    <w:multiLevelType w:val="hybridMultilevel"/>
    <w:tmpl w:val="6EDEC09E"/>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1854AB6"/>
    <w:multiLevelType w:val="hybridMultilevel"/>
    <w:tmpl w:val="69ECEF6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7BB03C6"/>
    <w:multiLevelType w:val="hybridMultilevel"/>
    <w:tmpl w:val="23B06C58"/>
    <w:lvl w:ilvl="0" w:tplc="FFFFFFFF">
      <w:start w:val="1"/>
      <w:numFmt w:val="lowerLetter"/>
      <w:lvlText w:val="%1)"/>
      <w:lvlJc w:val="left"/>
      <w:pPr>
        <w:ind w:left="720" w:hanging="360"/>
      </w:pPr>
      <w:rPr>
        <w:rFonts w:hint="default"/>
      </w:rPr>
    </w:lvl>
    <w:lvl w:ilvl="1" w:tplc="FFFFFFFF">
      <w:start w:val="1"/>
      <w:numFmt w:val="lowerRoman"/>
      <w:lvlText w:val="%2."/>
      <w:lvlJc w:val="right"/>
      <w:pPr>
        <w:ind w:left="1440" w:hanging="360"/>
      </w:pPr>
    </w:lvl>
    <w:lvl w:ilvl="2" w:tplc="FFFFFFF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10"/>
  </w:num>
  <w:num w:numId="6">
    <w:abstractNumId w:val="7"/>
  </w:num>
  <w:num w:numId="7">
    <w:abstractNumId w:val="4"/>
  </w:num>
  <w:num w:numId="8">
    <w:abstractNumId w:val="1"/>
  </w:num>
  <w:num w:numId="9">
    <w:abstractNumId w:val="8"/>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3A1"/>
    <w:rsid w:val="00012D34"/>
    <w:rsid w:val="000D66A3"/>
    <w:rsid w:val="001E1120"/>
    <w:rsid w:val="00253D0F"/>
    <w:rsid w:val="00345A02"/>
    <w:rsid w:val="00365C77"/>
    <w:rsid w:val="0047091E"/>
    <w:rsid w:val="0049550F"/>
    <w:rsid w:val="00501A43"/>
    <w:rsid w:val="00535404"/>
    <w:rsid w:val="00556332"/>
    <w:rsid w:val="007C32D9"/>
    <w:rsid w:val="007E62D1"/>
    <w:rsid w:val="009279CD"/>
    <w:rsid w:val="00930BFB"/>
    <w:rsid w:val="00945DFF"/>
    <w:rsid w:val="00966D28"/>
    <w:rsid w:val="00A16C44"/>
    <w:rsid w:val="00BF7811"/>
    <w:rsid w:val="00E1216F"/>
    <w:rsid w:val="00E82968"/>
    <w:rsid w:val="00ED6F7C"/>
    <w:rsid w:val="00F267C9"/>
    <w:rsid w:val="00F77CDF"/>
    <w:rsid w:val="00FE23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C026E"/>
  <w15:chartTrackingRefBased/>
  <w15:docId w15:val="{C4AE23C5-F684-417A-B2B6-85D94069F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E23A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
    <w:next w:val="Normln"/>
    <w:link w:val="Nadpis2Char"/>
    <w:uiPriority w:val="9"/>
    <w:semiHidden/>
    <w:unhideWhenUsed/>
    <w:qFormat/>
    <w:rsid w:val="00FE23A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FE23A1"/>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
    <w:next w:val="Normln"/>
    <w:link w:val="Nadpis4Char"/>
    <w:uiPriority w:val="9"/>
    <w:semiHidden/>
    <w:unhideWhenUsed/>
    <w:qFormat/>
    <w:rsid w:val="00FE23A1"/>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
    <w:next w:val="Normln"/>
    <w:link w:val="Nadpis5Char"/>
    <w:uiPriority w:val="9"/>
    <w:semiHidden/>
    <w:unhideWhenUsed/>
    <w:qFormat/>
    <w:rsid w:val="00FE23A1"/>
    <w:pPr>
      <w:keepNext/>
      <w:keepLines/>
      <w:spacing w:before="80" w:after="40"/>
      <w:outlineLvl w:val="4"/>
    </w:pPr>
    <w:rPr>
      <w:rFonts w:eastAsiaTheme="majorEastAsia" w:cstheme="majorBidi"/>
      <w:color w:val="2E74B5" w:themeColor="accent1" w:themeShade="BF"/>
    </w:rPr>
  </w:style>
  <w:style w:type="paragraph" w:styleId="Nadpis6">
    <w:name w:val="heading 6"/>
    <w:basedOn w:val="Normln"/>
    <w:next w:val="Normln"/>
    <w:link w:val="Nadpis6Char"/>
    <w:uiPriority w:val="9"/>
    <w:semiHidden/>
    <w:unhideWhenUsed/>
    <w:qFormat/>
    <w:rsid w:val="00FE23A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FE23A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FE23A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FE23A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E23A1"/>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Standardnpsmoodstavce"/>
    <w:link w:val="Nadpis2"/>
    <w:uiPriority w:val="9"/>
    <w:semiHidden/>
    <w:rsid w:val="00FE23A1"/>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FE23A1"/>
    <w:rPr>
      <w:rFonts w:eastAsiaTheme="majorEastAsia" w:cstheme="majorBidi"/>
      <w:color w:val="2E74B5" w:themeColor="accent1" w:themeShade="BF"/>
      <w:sz w:val="28"/>
      <w:szCs w:val="28"/>
    </w:rPr>
  </w:style>
  <w:style w:type="character" w:customStyle="1" w:styleId="Nadpis4Char">
    <w:name w:val="Nadpis 4 Char"/>
    <w:basedOn w:val="Standardnpsmoodstavce"/>
    <w:link w:val="Nadpis4"/>
    <w:uiPriority w:val="9"/>
    <w:semiHidden/>
    <w:rsid w:val="00FE23A1"/>
    <w:rPr>
      <w:rFonts w:eastAsiaTheme="majorEastAsia" w:cstheme="majorBidi"/>
      <w:i/>
      <w:iCs/>
      <w:color w:val="2E74B5" w:themeColor="accent1" w:themeShade="BF"/>
    </w:rPr>
  </w:style>
  <w:style w:type="character" w:customStyle="1" w:styleId="Nadpis5Char">
    <w:name w:val="Nadpis 5 Char"/>
    <w:basedOn w:val="Standardnpsmoodstavce"/>
    <w:link w:val="Nadpis5"/>
    <w:uiPriority w:val="9"/>
    <w:semiHidden/>
    <w:rsid w:val="00FE23A1"/>
    <w:rPr>
      <w:rFonts w:eastAsiaTheme="majorEastAsia" w:cstheme="majorBidi"/>
      <w:color w:val="2E74B5" w:themeColor="accent1" w:themeShade="BF"/>
    </w:rPr>
  </w:style>
  <w:style w:type="character" w:customStyle="1" w:styleId="Nadpis6Char">
    <w:name w:val="Nadpis 6 Char"/>
    <w:basedOn w:val="Standardnpsmoodstavce"/>
    <w:link w:val="Nadpis6"/>
    <w:uiPriority w:val="9"/>
    <w:semiHidden/>
    <w:rsid w:val="00FE23A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E23A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E23A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E23A1"/>
    <w:rPr>
      <w:rFonts w:eastAsiaTheme="majorEastAsia" w:cstheme="majorBidi"/>
      <w:color w:val="272727" w:themeColor="text1" w:themeTint="D8"/>
    </w:rPr>
  </w:style>
  <w:style w:type="paragraph" w:styleId="Nzev">
    <w:name w:val="Title"/>
    <w:basedOn w:val="Normln"/>
    <w:next w:val="Normln"/>
    <w:link w:val="NzevChar"/>
    <w:uiPriority w:val="10"/>
    <w:qFormat/>
    <w:rsid w:val="00FE23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E23A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E23A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E23A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E23A1"/>
    <w:pPr>
      <w:spacing w:before="160"/>
      <w:jc w:val="center"/>
    </w:pPr>
    <w:rPr>
      <w:i/>
      <w:iCs/>
      <w:color w:val="404040" w:themeColor="text1" w:themeTint="BF"/>
    </w:rPr>
  </w:style>
  <w:style w:type="character" w:customStyle="1" w:styleId="CittChar">
    <w:name w:val="Citát Char"/>
    <w:basedOn w:val="Standardnpsmoodstavce"/>
    <w:link w:val="Citt"/>
    <w:uiPriority w:val="29"/>
    <w:rsid w:val="00FE23A1"/>
    <w:rPr>
      <w:i/>
      <w:iCs/>
      <w:color w:val="404040" w:themeColor="text1" w:themeTint="BF"/>
    </w:rPr>
  </w:style>
  <w:style w:type="paragraph" w:styleId="Odstavecseseznamem">
    <w:name w:val="List Paragraph"/>
    <w:basedOn w:val="Normln"/>
    <w:uiPriority w:val="34"/>
    <w:qFormat/>
    <w:rsid w:val="00FE23A1"/>
    <w:pPr>
      <w:ind w:left="720"/>
      <w:contextualSpacing/>
    </w:pPr>
  </w:style>
  <w:style w:type="character" w:styleId="Zdraznnintenzivn">
    <w:name w:val="Intense Emphasis"/>
    <w:basedOn w:val="Standardnpsmoodstavce"/>
    <w:uiPriority w:val="21"/>
    <w:qFormat/>
    <w:rsid w:val="00FE23A1"/>
    <w:rPr>
      <w:i/>
      <w:iCs/>
      <w:color w:val="2E74B5" w:themeColor="accent1" w:themeShade="BF"/>
    </w:rPr>
  </w:style>
  <w:style w:type="paragraph" w:styleId="Vrazncitt">
    <w:name w:val="Intense Quote"/>
    <w:basedOn w:val="Normln"/>
    <w:next w:val="Normln"/>
    <w:link w:val="VrazncittChar"/>
    <w:uiPriority w:val="30"/>
    <w:qFormat/>
    <w:rsid w:val="00FE23A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VrazncittChar">
    <w:name w:val="Výrazný citát Char"/>
    <w:basedOn w:val="Standardnpsmoodstavce"/>
    <w:link w:val="Vrazncitt"/>
    <w:uiPriority w:val="30"/>
    <w:rsid w:val="00FE23A1"/>
    <w:rPr>
      <w:i/>
      <w:iCs/>
      <w:color w:val="2E74B5" w:themeColor="accent1" w:themeShade="BF"/>
    </w:rPr>
  </w:style>
  <w:style w:type="character" w:styleId="Odkazintenzivn">
    <w:name w:val="Intense Reference"/>
    <w:basedOn w:val="Standardnpsmoodstavce"/>
    <w:uiPriority w:val="32"/>
    <w:qFormat/>
    <w:rsid w:val="00FE23A1"/>
    <w:rPr>
      <w:b/>
      <w:bCs/>
      <w:smallCaps/>
      <w:color w:val="2E74B5" w:themeColor="accent1" w:themeShade="BF"/>
      <w:spacing w:val="5"/>
    </w:rPr>
  </w:style>
  <w:style w:type="paragraph" w:styleId="Zhlav">
    <w:name w:val="header"/>
    <w:basedOn w:val="Normln"/>
    <w:link w:val="ZhlavChar"/>
    <w:uiPriority w:val="99"/>
    <w:unhideWhenUsed/>
    <w:rsid w:val="000D66A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66A3"/>
  </w:style>
  <w:style w:type="paragraph" w:styleId="Zpat">
    <w:name w:val="footer"/>
    <w:basedOn w:val="Normln"/>
    <w:link w:val="ZpatChar"/>
    <w:uiPriority w:val="99"/>
    <w:unhideWhenUsed/>
    <w:rsid w:val="000D66A3"/>
    <w:pPr>
      <w:tabs>
        <w:tab w:val="center" w:pos="4536"/>
        <w:tab w:val="right" w:pos="9072"/>
      </w:tabs>
      <w:spacing w:after="0" w:line="240" w:lineRule="auto"/>
    </w:pPr>
  </w:style>
  <w:style w:type="character" w:customStyle="1" w:styleId="ZpatChar">
    <w:name w:val="Zápatí Char"/>
    <w:basedOn w:val="Standardnpsmoodstavce"/>
    <w:link w:val="Zpat"/>
    <w:uiPriority w:val="99"/>
    <w:rsid w:val="000D66A3"/>
  </w:style>
  <w:style w:type="paragraph" w:customStyle="1" w:styleId="Default">
    <w:name w:val="Default"/>
    <w:rsid w:val="00F77CDF"/>
    <w:pPr>
      <w:autoSpaceDE w:val="0"/>
      <w:autoSpaceDN w:val="0"/>
      <w:adjustRightInd w:val="0"/>
      <w:spacing w:after="0" w:line="240" w:lineRule="auto"/>
    </w:pPr>
    <w:rPr>
      <w:rFonts w:ascii="Times New Roman" w:hAnsi="Times New Roman" w:cs="Times New Roman"/>
      <w:color w:val="000000"/>
      <w:kern w:val="0"/>
      <w:sz w:val="24"/>
      <w:szCs w:val="24"/>
    </w:rPr>
  </w:style>
  <w:style w:type="table" w:styleId="Mkatabulky">
    <w:name w:val="Table Grid"/>
    <w:basedOn w:val="Normlntabulka"/>
    <w:uiPriority w:val="39"/>
    <w:rsid w:val="00345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0D950880F07BF44B2E57B4E5148ED1E" ma:contentTypeVersion="11" ma:contentTypeDescription="Vytvoří nový dokument" ma:contentTypeScope="" ma:versionID="792eab94fb6ce101e2d7c12a6a9b353a">
  <xsd:schema xmlns:xsd="http://www.w3.org/2001/XMLSchema" xmlns:xs="http://www.w3.org/2001/XMLSchema" xmlns:p="http://schemas.microsoft.com/office/2006/metadata/properties" xmlns:ns2="9e88f56c-316d-488a-9fd7-2d0a6ba3a282" xmlns:ns3="0ad023de-2be6-475c-93fc-d9ba6b650da6" targetNamespace="http://schemas.microsoft.com/office/2006/metadata/properties" ma:root="true" ma:fieldsID="538d3c6fa00491cdb99c9af275153c8b" ns2:_="" ns3:_="">
    <xsd:import namespace="9e88f56c-316d-488a-9fd7-2d0a6ba3a282"/>
    <xsd:import namespace="0ad023de-2be6-475c-93fc-d9ba6b650d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8f56c-316d-488a-9fd7-2d0a6ba3a2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d023de-2be6-475c-93fc-d9ba6b650da6"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ad023de-2be6-475c-93fc-d9ba6b650da6">
      <UserInfo>
        <DisplayName/>
        <AccountId xsi:nil="true"/>
        <AccountType/>
      </UserInfo>
    </SharedWithUsers>
  </documentManagement>
</p:properties>
</file>

<file path=customXml/itemProps1.xml><?xml version="1.0" encoding="utf-8"?>
<ds:datastoreItem xmlns:ds="http://schemas.openxmlformats.org/officeDocument/2006/customXml" ds:itemID="{5551E011-090E-4AE2-8450-8CBC878B5E07}"/>
</file>

<file path=customXml/itemProps2.xml><?xml version="1.0" encoding="utf-8"?>
<ds:datastoreItem xmlns:ds="http://schemas.openxmlformats.org/officeDocument/2006/customXml" ds:itemID="{A7FB8D46-32E1-4CFE-BB89-F9048A12A93B}"/>
</file>

<file path=customXml/itemProps3.xml><?xml version="1.0" encoding="utf-8"?>
<ds:datastoreItem xmlns:ds="http://schemas.openxmlformats.org/officeDocument/2006/customXml" ds:itemID="{94B21A93-1923-44C1-80DE-FB2DD5B6610C}"/>
</file>

<file path=docProps/app.xml><?xml version="1.0" encoding="utf-8"?>
<Properties xmlns="http://schemas.openxmlformats.org/officeDocument/2006/extended-properties" xmlns:vt="http://schemas.openxmlformats.org/officeDocument/2006/docPropsVTypes">
  <Template>Normal</Template>
  <TotalTime>104</TotalTime>
  <Pages>5</Pages>
  <Words>1813</Words>
  <Characters>10697</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Fiala</dc:creator>
  <cp:keywords/>
  <dc:description/>
  <cp:lastModifiedBy>Jankůj Miroslav Ing. Ph.D. (VZP ČR Ústředí)</cp:lastModifiedBy>
  <cp:revision>15</cp:revision>
  <cp:lastPrinted>2025-05-26T09:07:00Z</cp:lastPrinted>
  <dcterms:created xsi:type="dcterms:W3CDTF">2025-05-26T07:25:00Z</dcterms:created>
  <dcterms:modified xsi:type="dcterms:W3CDTF">2025-05-28T09:10:00Z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0x01010030D950880F07BF44B2E57B4E5148ED1E</vt:lpwstr>
  </property>
  <property fmtid="{D5CDD505-2E9C-101B-9397-08002B2CF9AE}" pid="3" name="Order">
    <vt:r8>101400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