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EDD78" w14:textId="77777777" w:rsidR="009C7D43" w:rsidRDefault="009C7D43"/>
    <w:p w14:paraId="24332807" w14:textId="77777777" w:rsidR="00936696" w:rsidRDefault="00936696"/>
    <w:tbl>
      <w:tblPr>
        <w:tblW w:w="9780" w:type="dxa"/>
        <w:jc w:val="center"/>
        <w:tblLook w:val="04A0" w:firstRow="1" w:lastRow="0" w:firstColumn="1" w:lastColumn="0" w:noHBand="0" w:noVBand="1"/>
      </w:tblPr>
      <w:tblGrid>
        <w:gridCol w:w="2623"/>
        <w:gridCol w:w="3701"/>
        <w:gridCol w:w="652"/>
        <w:gridCol w:w="706"/>
        <w:gridCol w:w="619"/>
        <w:gridCol w:w="695"/>
        <w:gridCol w:w="784"/>
      </w:tblGrid>
      <w:tr w:rsidR="00936696" w:rsidRPr="00DB5CDA" w14:paraId="0F19B8B3" w14:textId="77777777" w:rsidTr="00F86DD2">
        <w:trPr>
          <w:trHeight w:val="480"/>
          <w:jc w:val="center"/>
        </w:trPr>
        <w:tc>
          <w:tcPr>
            <w:tcW w:w="262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/>
          </w:tcPr>
          <w:p w14:paraId="59934971" w14:textId="77777777" w:rsidR="00936696" w:rsidRPr="00DB5CDA" w:rsidRDefault="00936696" w:rsidP="009B5451">
            <w:pPr>
              <w:pStyle w:val="Zhlav"/>
              <w:rPr>
                <w:rFonts w:ascii="Arial" w:hAnsi="Arial" w:cs="Arial"/>
                <w:b/>
              </w:rPr>
            </w:pPr>
          </w:p>
          <w:p w14:paraId="02755709" w14:textId="77777777" w:rsidR="00936696" w:rsidRPr="00DB5CDA" w:rsidRDefault="00936696" w:rsidP="009B5451">
            <w:pPr>
              <w:pStyle w:val="Zhlav"/>
              <w:rPr>
                <w:rFonts w:ascii="Arial" w:hAnsi="Arial" w:cs="Arial"/>
                <w:b/>
              </w:rPr>
            </w:pPr>
            <w:r w:rsidRPr="00DB5CDA">
              <w:rPr>
                <w:rFonts w:ascii="Arial" w:hAnsi="Arial" w:cs="Arial"/>
                <w:b/>
              </w:rPr>
              <w:t>M</w:t>
            </w:r>
            <w:r>
              <w:rPr>
                <w:rFonts w:ascii="Arial" w:hAnsi="Arial" w:cs="Arial"/>
                <w:b/>
              </w:rPr>
              <w:t>Zd</w:t>
            </w:r>
          </w:p>
          <w:p w14:paraId="6A98A5B8" w14:textId="77777777" w:rsidR="00936696" w:rsidRPr="00DB5CDA" w:rsidRDefault="00936696" w:rsidP="009B5451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370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/>
          </w:tcPr>
          <w:p w14:paraId="7D1A7F8D" w14:textId="77777777" w:rsidR="00936696" w:rsidRPr="00DB5CDA" w:rsidRDefault="00936696" w:rsidP="009B5451">
            <w:pPr>
              <w:rPr>
                <w:rFonts w:ascii="Arial" w:hAnsi="Arial" w:cs="Arial"/>
                <w:b/>
              </w:rPr>
            </w:pPr>
          </w:p>
          <w:p w14:paraId="7C9C30CA" w14:textId="77777777" w:rsidR="00936696" w:rsidRPr="00DB5CDA" w:rsidRDefault="00936696" w:rsidP="009B5451">
            <w:pPr>
              <w:rPr>
                <w:rFonts w:ascii="Arial" w:hAnsi="Arial" w:cs="Arial"/>
                <w:b/>
              </w:rPr>
            </w:pPr>
            <w:r w:rsidRPr="00123BFB">
              <w:rPr>
                <w:rFonts w:ascii="Arial" w:hAnsi="Arial" w:cs="Arial"/>
                <w:b/>
              </w:rPr>
              <w:t>Fakultní nemocnice Plzeň</w:t>
            </w: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/>
            <w:vAlign w:val="center"/>
          </w:tcPr>
          <w:p w14:paraId="0F08BD3B" w14:textId="77777777" w:rsidR="00936696" w:rsidRPr="00DB5CDA" w:rsidRDefault="00A5660A" w:rsidP="009B545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D50400C" w14:textId="77777777" w:rsidR="00936696" w:rsidRPr="00DB5CDA" w:rsidRDefault="00A5660A" w:rsidP="009B54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M1/2</w:t>
            </w:r>
          </w:p>
        </w:tc>
        <w:tc>
          <w:tcPr>
            <w:tcW w:w="6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AB5EE5D" w14:textId="77777777" w:rsidR="00936696" w:rsidRPr="00DB5CDA" w:rsidRDefault="00A5660A" w:rsidP="009B54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M3</w:t>
            </w:r>
          </w:p>
        </w:tc>
        <w:tc>
          <w:tcPr>
            <w:tcW w:w="6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086561A" w14:textId="77777777" w:rsidR="00936696" w:rsidRPr="00DB5CDA" w:rsidRDefault="00A5660A" w:rsidP="009B54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M4</w:t>
            </w:r>
          </w:p>
        </w:tc>
        <w:tc>
          <w:tcPr>
            <w:tcW w:w="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CA20800" w14:textId="77777777" w:rsidR="00936696" w:rsidRPr="00DB5CDA" w:rsidRDefault="00A5660A" w:rsidP="009B54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M5</w:t>
            </w:r>
          </w:p>
        </w:tc>
      </w:tr>
      <w:tr w:rsidR="00936696" w:rsidRPr="00DB5CDA" w14:paraId="631313D2" w14:textId="77777777" w:rsidTr="00F86DD2">
        <w:trPr>
          <w:trHeight w:val="402"/>
          <w:jc w:val="center"/>
        </w:trPr>
        <w:tc>
          <w:tcPr>
            <w:tcW w:w="262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/>
          </w:tcPr>
          <w:p w14:paraId="68CF768E" w14:textId="77777777" w:rsidR="00936696" w:rsidRPr="00DB5CDA" w:rsidRDefault="00936696" w:rsidP="009B5451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370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/>
          </w:tcPr>
          <w:p w14:paraId="7A040305" w14:textId="77777777" w:rsidR="00936696" w:rsidRPr="00DB5CDA" w:rsidRDefault="00936696" w:rsidP="009B545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/>
            <w:vAlign w:val="center"/>
          </w:tcPr>
          <w:p w14:paraId="06F4C411" w14:textId="77777777" w:rsidR="00936696" w:rsidRPr="00DB5CDA" w:rsidRDefault="00936696" w:rsidP="009B5451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7126D5B" w14:textId="77777777" w:rsidR="00936696" w:rsidRPr="00DB5CDA" w:rsidRDefault="00A5660A" w:rsidP="009B545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smallCaps/>
                <w:spacing w:val="20"/>
              </w:rPr>
              <w:t>C</w:t>
            </w:r>
          </w:p>
        </w:tc>
        <w:tc>
          <w:tcPr>
            <w:tcW w:w="6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8FA2A35" w14:textId="77777777" w:rsidR="00936696" w:rsidRPr="00DB5CDA" w:rsidRDefault="00A5660A" w:rsidP="009B545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smallCaps/>
                <w:spacing w:val="20"/>
              </w:rPr>
              <w:t>B</w:t>
            </w:r>
          </w:p>
        </w:tc>
        <w:tc>
          <w:tcPr>
            <w:tcW w:w="6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031E754" w14:textId="77777777" w:rsidR="00936696" w:rsidRPr="00DB5CDA" w:rsidRDefault="00A5660A" w:rsidP="009B545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smallCaps/>
                <w:spacing w:val="20"/>
              </w:rPr>
              <w:t>B</w:t>
            </w:r>
          </w:p>
        </w:tc>
        <w:tc>
          <w:tcPr>
            <w:tcW w:w="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5846493" w14:textId="77777777" w:rsidR="00936696" w:rsidRPr="00DB5CDA" w:rsidRDefault="00A5660A" w:rsidP="009B545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smallCaps/>
                <w:spacing w:val="20"/>
              </w:rPr>
              <w:t>B</w:t>
            </w:r>
          </w:p>
        </w:tc>
      </w:tr>
      <w:tr w:rsidR="00B62339" w:rsidRPr="00924E46" w14:paraId="1A51269E" w14:textId="77777777" w:rsidTr="00F86DD2">
        <w:trPr>
          <w:trHeight w:val="265"/>
          <w:jc w:val="center"/>
        </w:trPr>
        <w:tc>
          <w:tcPr>
            <w:tcW w:w="262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DEC56DF" w14:textId="77777777" w:rsidR="00B62339" w:rsidRDefault="00B62339" w:rsidP="00B6233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ECDA552" w14:textId="77777777" w:rsidR="00B62339" w:rsidRPr="00DB5CDA" w:rsidRDefault="00B62339" w:rsidP="00B62339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796777">
              <w:rPr>
                <w:rFonts w:ascii="Arial" w:hAnsi="Arial" w:cs="Arial"/>
                <w:b/>
                <w:szCs w:val="22"/>
              </w:rPr>
              <w:t>Výsledné hodnocení</w:t>
            </w:r>
            <w:r w:rsidR="00BF482D">
              <w:rPr>
                <w:rFonts w:ascii="Arial" w:hAnsi="Arial" w:cs="Arial"/>
                <w:b/>
                <w:szCs w:val="22"/>
              </w:rPr>
              <w:t xml:space="preserve"> za moduly 1 až 5 je</w:t>
            </w:r>
            <w:r>
              <w:rPr>
                <w:rFonts w:ascii="Arial" w:hAnsi="Arial" w:cs="Arial"/>
                <w:b/>
                <w:szCs w:val="22"/>
              </w:rPr>
              <w:t xml:space="preserve"> C</w:t>
            </w:r>
          </w:p>
        </w:tc>
        <w:tc>
          <w:tcPr>
            <w:tcW w:w="7157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24BFB74" w14:textId="77777777" w:rsidR="00A5660A" w:rsidRDefault="00A5660A" w:rsidP="00A5660A">
            <w:pPr>
              <w:pStyle w:val="Zhlav"/>
              <w:jc w:val="both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  <w:p w14:paraId="47FA619D" w14:textId="2133FDFA" w:rsidR="00A5660A" w:rsidRDefault="00A5660A" w:rsidP="00A5660A">
            <w:pPr>
              <w:pStyle w:val="Zhlav"/>
              <w:jc w:val="both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4C73B8"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Moduly M1-2 </w:t>
            </w:r>
            <w:r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po tripartitě v roce </w:t>
            </w:r>
            <w:proofErr w:type="gramStart"/>
            <w:r>
              <w:rPr>
                <w:rFonts w:ascii="Arial" w:hAnsi="Arial" w:cs="Arial"/>
                <w:b/>
                <w:color w:val="000000" w:themeColor="text1"/>
                <w:szCs w:val="22"/>
              </w:rPr>
              <w:t>202</w:t>
            </w:r>
            <w:r w:rsidR="00EA2FAE">
              <w:rPr>
                <w:rFonts w:ascii="Arial" w:hAnsi="Arial" w:cs="Arial"/>
                <w:b/>
                <w:color w:val="000000" w:themeColor="text1"/>
                <w:szCs w:val="22"/>
              </w:rPr>
              <w:t>4</w:t>
            </w:r>
            <w:r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 – C</w:t>
            </w:r>
            <w:proofErr w:type="gramEnd"/>
          </w:p>
          <w:p w14:paraId="6B7FA105" w14:textId="77777777" w:rsidR="00B62339" w:rsidRPr="00924E46" w:rsidRDefault="00B62339" w:rsidP="00B62339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B62339" w:rsidRPr="00924E46" w14:paraId="06371F89" w14:textId="77777777" w:rsidTr="00F86DD2">
        <w:trPr>
          <w:trHeight w:val="265"/>
          <w:jc w:val="center"/>
        </w:trPr>
        <w:tc>
          <w:tcPr>
            <w:tcW w:w="262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434128" w14:textId="77777777" w:rsidR="00B62339" w:rsidRDefault="00B62339" w:rsidP="00B6233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D27797E" w14:textId="77777777" w:rsidR="00B62339" w:rsidRDefault="00B62339" w:rsidP="00B6233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E6CA811" w14:textId="77777777" w:rsidR="00B62339" w:rsidRDefault="00B62339" w:rsidP="00B62339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 xml:space="preserve">Modul </w:t>
            </w:r>
            <w:r>
              <w:rPr>
                <w:rFonts w:ascii="Arial" w:hAnsi="Arial" w:cs="Arial"/>
                <w:b/>
                <w:szCs w:val="22"/>
              </w:rPr>
              <w:t>3</w:t>
            </w:r>
            <w:r w:rsidRPr="00DB5CDA">
              <w:rPr>
                <w:rFonts w:ascii="Arial" w:hAnsi="Arial" w:cs="Arial"/>
                <w:b/>
                <w:szCs w:val="22"/>
              </w:rPr>
              <w:t xml:space="preserve"> – </w:t>
            </w:r>
            <w:r>
              <w:rPr>
                <w:rFonts w:ascii="Arial" w:hAnsi="Arial" w:cs="Arial"/>
                <w:b/>
                <w:szCs w:val="22"/>
              </w:rPr>
              <w:t>Společenská relevance B</w:t>
            </w:r>
          </w:p>
          <w:p w14:paraId="29789774" w14:textId="77777777" w:rsidR="00B62339" w:rsidRDefault="00B62339" w:rsidP="00B6233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256F99C" w14:textId="77777777" w:rsidR="00B62339" w:rsidRPr="00DB5CDA" w:rsidRDefault="00B62339" w:rsidP="00B62339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157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89FC1CF" w14:textId="77777777" w:rsidR="00B62339" w:rsidRDefault="00B62339" w:rsidP="00B62339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  <w:p w14:paraId="63DAF704" w14:textId="77777777" w:rsidR="0014043A" w:rsidRPr="00187751" w:rsidRDefault="0014043A" w:rsidP="00187751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187751">
              <w:rPr>
                <w:rFonts w:ascii="Arial" w:hAnsi="Arial" w:cs="Arial"/>
                <w:color w:val="000000"/>
                <w:szCs w:val="22"/>
              </w:rPr>
              <w:t>Průběžné hodnocení VO za rok 2023</w:t>
            </w:r>
            <w:r w:rsidR="00F96951" w:rsidRPr="00187751">
              <w:rPr>
                <w:rFonts w:ascii="Arial" w:hAnsi="Arial" w:cs="Arial"/>
                <w:color w:val="000000"/>
                <w:szCs w:val="22"/>
              </w:rPr>
              <w:t xml:space="preserve"> - Modul 3</w:t>
            </w:r>
          </w:p>
          <w:p w14:paraId="624345F8" w14:textId="77777777" w:rsidR="0014043A" w:rsidRPr="00187751" w:rsidRDefault="0014043A" w:rsidP="00187751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187751">
              <w:rPr>
                <w:rFonts w:ascii="Arial" w:hAnsi="Arial" w:cs="Arial"/>
                <w:color w:val="000000"/>
                <w:szCs w:val="22"/>
              </w:rPr>
              <w:t xml:space="preserve">Mezi základní výzkumné projekty FN Plzeň </w:t>
            </w:r>
            <w:proofErr w:type="gramStart"/>
            <w:r w:rsidRPr="00187751">
              <w:rPr>
                <w:rFonts w:ascii="Arial" w:hAnsi="Arial" w:cs="Arial"/>
                <w:color w:val="000000"/>
                <w:szCs w:val="22"/>
              </w:rPr>
              <w:t>patří</w:t>
            </w:r>
            <w:proofErr w:type="gramEnd"/>
            <w:r w:rsidRPr="00187751">
              <w:rPr>
                <w:rFonts w:ascii="Arial" w:hAnsi="Arial" w:cs="Arial"/>
                <w:color w:val="000000"/>
                <w:szCs w:val="22"/>
              </w:rPr>
              <w:t xml:space="preserve"> Gynekoonkologie, Onkochirurgie se zaměřením na plce, játra a pankreas, Uroonkologie, Projekt kolorektální karcinom, a projekt Gliomy. </w:t>
            </w:r>
          </w:p>
          <w:p w14:paraId="49E01C0D" w14:textId="02F128B2" w:rsidR="0014043A" w:rsidRPr="00187751" w:rsidRDefault="0014043A" w:rsidP="00187751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187751">
              <w:rPr>
                <w:rFonts w:ascii="Arial" w:hAnsi="Arial" w:cs="Arial"/>
                <w:color w:val="000000"/>
                <w:szCs w:val="22"/>
              </w:rPr>
              <w:t>Ve zprávě je uvedeno celkem 15 projektů financovaných z grantových agentur, z toho jsou všechny s podílem menším než 50</w:t>
            </w:r>
            <w:r w:rsidR="00187751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proofErr w:type="gramStart"/>
            <w:r w:rsidRPr="00187751">
              <w:rPr>
                <w:rFonts w:ascii="Arial" w:hAnsi="Arial" w:cs="Arial"/>
                <w:color w:val="000000"/>
                <w:szCs w:val="22"/>
              </w:rPr>
              <w:t>%,  dále</w:t>
            </w:r>
            <w:proofErr w:type="gramEnd"/>
            <w:r w:rsidRPr="00187751">
              <w:rPr>
                <w:rFonts w:ascii="Arial" w:hAnsi="Arial" w:cs="Arial"/>
                <w:color w:val="000000"/>
                <w:szCs w:val="22"/>
              </w:rPr>
              <w:t xml:space="preserve"> pak projekt ve kterých je uvedena FN Plzeň jako stoprocentní příjemce podpory z MZCR (celkem 17 projektů). Dále jsou uvedeny výsledky výzkumu s ekonomickými dopady – celkem 5 projektů spojených s racionalizací postupu vedoucím </w:t>
            </w:r>
            <w:proofErr w:type="gramStart"/>
            <w:r w:rsidRPr="00187751">
              <w:rPr>
                <w:rFonts w:ascii="Arial" w:hAnsi="Arial" w:cs="Arial"/>
                <w:color w:val="000000"/>
                <w:szCs w:val="22"/>
              </w:rPr>
              <w:t>k</w:t>
            </w:r>
            <w:proofErr w:type="gramEnd"/>
            <w:r w:rsidRPr="00187751">
              <w:rPr>
                <w:rFonts w:ascii="Arial" w:hAnsi="Arial" w:cs="Arial"/>
                <w:color w:val="000000"/>
                <w:szCs w:val="22"/>
              </w:rPr>
              <w:t> zlepšení indikace vyšetření, zkrácení hospitalizace či zavedení nových metod.  zkrácením hospitalizace.  I ve zprávě za uplynulé období uvádí vedení FN Plzeň, že je si vědomo relativně malého množství výzkumných projektů financovaných grantovými agenturami.</w:t>
            </w:r>
          </w:p>
          <w:p w14:paraId="35A0FA36" w14:textId="0335969C" w:rsidR="0014043A" w:rsidRPr="00187751" w:rsidRDefault="0014043A" w:rsidP="00187751">
            <w:pPr>
              <w:shd w:val="clear" w:color="auto" w:fill="FFFFFF"/>
              <w:jc w:val="both"/>
              <w:rPr>
                <w:rFonts w:ascii="Arial" w:hAnsi="Arial" w:cs="Arial"/>
                <w:color w:val="000000"/>
                <w:szCs w:val="22"/>
              </w:rPr>
            </w:pPr>
            <w:r w:rsidRPr="00187751">
              <w:rPr>
                <w:rFonts w:ascii="Arial" w:hAnsi="Arial" w:cs="Arial"/>
                <w:color w:val="000000"/>
                <w:szCs w:val="22"/>
              </w:rPr>
              <w:t xml:space="preserve">Pracovníci FN Plzeň jsou </w:t>
            </w:r>
            <w:r w:rsidR="00F96951" w:rsidRPr="00187751">
              <w:rPr>
                <w:rFonts w:ascii="Arial" w:hAnsi="Arial" w:cs="Arial"/>
                <w:color w:val="000000"/>
                <w:szCs w:val="22"/>
              </w:rPr>
              <w:t xml:space="preserve">přiměřeně </w:t>
            </w:r>
            <w:r w:rsidRPr="00187751">
              <w:rPr>
                <w:rFonts w:ascii="Arial" w:hAnsi="Arial" w:cs="Arial"/>
                <w:color w:val="000000"/>
                <w:szCs w:val="22"/>
              </w:rPr>
              <w:t xml:space="preserve">respektovaní na národní úrovni </w:t>
            </w:r>
            <w:r w:rsidR="00187751">
              <w:rPr>
                <w:rFonts w:ascii="Arial" w:hAnsi="Arial" w:cs="Arial"/>
                <w:color w:val="000000"/>
                <w:szCs w:val="22"/>
              </w:rPr>
              <w:br/>
            </w:r>
            <w:r w:rsidRPr="00187751">
              <w:rPr>
                <w:rFonts w:ascii="Arial" w:hAnsi="Arial" w:cs="Arial"/>
                <w:color w:val="000000"/>
                <w:szCs w:val="22"/>
              </w:rPr>
              <w:t xml:space="preserve">a mají zřetelné zastoupení v orgánech AZV MZd i GA ČR a v orgánech odborných lékařských společností, akreditačních komisí a VR MZd ČR. </w:t>
            </w:r>
          </w:p>
          <w:p w14:paraId="7BABBB23" w14:textId="77777777" w:rsidR="0014043A" w:rsidRPr="00924E46" w:rsidRDefault="0014043A" w:rsidP="00B62339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B62339" w14:paraId="0B05E10D" w14:textId="77777777" w:rsidTr="00F86DD2">
        <w:trPr>
          <w:trHeight w:val="265"/>
          <w:jc w:val="center"/>
        </w:trPr>
        <w:tc>
          <w:tcPr>
            <w:tcW w:w="262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BC17AF4" w14:textId="77777777" w:rsidR="00B62339" w:rsidRDefault="00B62339" w:rsidP="00B62339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 xml:space="preserve">Modul </w:t>
            </w:r>
            <w:r>
              <w:rPr>
                <w:rFonts w:ascii="Arial" w:hAnsi="Arial" w:cs="Arial"/>
                <w:b/>
                <w:szCs w:val="22"/>
              </w:rPr>
              <w:t>4</w:t>
            </w:r>
            <w:r w:rsidRPr="00DB5CDA">
              <w:rPr>
                <w:rFonts w:ascii="Arial" w:hAnsi="Arial" w:cs="Arial"/>
                <w:b/>
                <w:szCs w:val="22"/>
              </w:rPr>
              <w:t xml:space="preserve"> –</w:t>
            </w:r>
            <w:r>
              <w:rPr>
                <w:rFonts w:ascii="Arial" w:hAnsi="Arial" w:cs="Arial"/>
                <w:b/>
                <w:szCs w:val="22"/>
              </w:rPr>
              <w:t>Viabilita</w:t>
            </w:r>
            <w:r w:rsidRPr="00DB5CDA">
              <w:rPr>
                <w:rFonts w:ascii="Arial" w:hAnsi="Arial" w:cs="Arial"/>
                <w:b/>
                <w:szCs w:val="22"/>
              </w:rPr>
              <w:t xml:space="preserve"> výzkumu</w:t>
            </w:r>
            <w:r>
              <w:rPr>
                <w:rFonts w:ascii="Arial" w:hAnsi="Arial" w:cs="Arial"/>
                <w:b/>
                <w:szCs w:val="22"/>
              </w:rPr>
              <w:t xml:space="preserve"> B</w:t>
            </w:r>
          </w:p>
          <w:p w14:paraId="18968E40" w14:textId="77777777" w:rsidR="00B62339" w:rsidRDefault="00B62339" w:rsidP="00B6233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62DBFC26" w14:textId="77777777" w:rsidR="00B62339" w:rsidRDefault="00B62339" w:rsidP="00B62339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C6521E9" w14:textId="77777777" w:rsidR="00B62339" w:rsidRPr="00DB5CDA" w:rsidRDefault="00B62339" w:rsidP="00B62339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157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ED2B4E5" w14:textId="77777777" w:rsidR="009F2260" w:rsidRDefault="009F2260" w:rsidP="00BF482D">
            <w:pPr>
              <w:pBdr>
                <w:bottom w:val="single" w:sz="6" w:space="1" w:color="auto"/>
              </w:pBdr>
              <w:shd w:val="clear" w:color="auto" w:fill="FFFFFF"/>
              <w:rPr>
                <w:rFonts w:ascii="Arial" w:hAnsi="Arial" w:cs="Arial"/>
                <w:color w:val="000000"/>
                <w:szCs w:val="22"/>
              </w:rPr>
            </w:pPr>
          </w:p>
          <w:p w14:paraId="34729972" w14:textId="77777777" w:rsidR="009F2260" w:rsidRDefault="009F2260" w:rsidP="00BF482D">
            <w:pPr>
              <w:pBdr>
                <w:bottom w:val="single" w:sz="6" w:space="1" w:color="auto"/>
              </w:pBdr>
              <w:shd w:val="clear" w:color="auto" w:fill="FFFFFF"/>
              <w:rPr>
                <w:rFonts w:ascii="Arial" w:hAnsi="Arial" w:cs="Arial"/>
                <w:color w:val="000000"/>
                <w:szCs w:val="22"/>
              </w:rPr>
            </w:pPr>
          </w:p>
          <w:p w14:paraId="569340F5" w14:textId="77777777" w:rsidR="0014043A" w:rsidRPr="00A20748" w:rsidRDefault="0014043A" w:rsidP="00BF482D">
            <w:pPr>
              <w:pBdr>
                <w:bottom w:val="single" w:sz="6" w:space="1" w:color="auto"/>
              </w:pBdr>
              <w:shd w:val="clear" w:color="auto" w:fill="FFFFFF"/>
              <w:rPr>
                <w:rFonts w:ascii="Arial" w:hAnsi="Arial" w:cs="Arial"/>
                <w:color w:val="000000"/>
                <w:szCs w:val="22"/>
              </w:rPr>
            </w:pPr>
          </w:p>
          <w:p w14:paraId="6A2FD2F0" w14:textId="77777777" w:rsidR="00BF482D" w:rsidRPr="00187751" w:rsidRDefault="0014043A" w:rsidP="00187751">
            <w:pPr>
              <w:shd w:val="clear" w:color="auto" w:fill="FFFFFF"/>
              <w:jc w:val="both"/>
              <w:rPr>
                <w:rFonts w:ascii="Arial" w:hAnsi="Arial" w:cs="Arial"/>
                <w:szCs w:val="22"/>
              </w:rPr>
            </w:pPr>
            <w:r w:rsidRPr="00187751">
              <w:rPr>
                <w:rFonts w:ascii="Arial" w:hAnsi="Arial" w:cs="Arial"/>
                <w:szCs w:val="22"/>
              </w:rPr>
              <w:t>Průběžné hodnocení VO za rok 2023</w:t>
            </w:r>
            <w:r w:rsidR="00F96951" w:rsidRPr="00187751">
              <w:rPr>
                <w:rFonts w:ascii="Arial" w:hAnsi="Arial" w:cs="Arial"/>
                <w:szCs w:val="22"/>
              </w:rPr>
              <w:t xml:space="preserve"> – Modul 4</w:t>
            </w:r>
          </w:p>
          <w:p w14:paraId="47BC3C85" w14:textId="16D66643" w:rsidR="0014043A" w:rsidRPr="00187751" w:rsidRDefault="0014043A" w:rsidP="00187751">
            <w:pPr>
              <w:shd w:val="clear" w:color="auto" w:fill="FFFFFF"/>
              <w:jc w:val="both"/>
              <w:rPr>
                <w:rFonts w:ascii="Arial" w:hAnsi="Arial" w:cs="Arial"/>
                <w:szCs w:val="22"/>
              </w:rPr>
            </w:pPr>
            <w:r w:rsidRPr="00187751">
              <w:rPr>
                <w:rFonts w:ascii="Arial" w:hAnsi="Arial" w:cs="Arial"/>
                <w:szCs w:val="22"/>
              </w:rPr>
              <w:t>Využití finanční dotace je adekvátní</w:t>
            </w:r>
            <w:r w:rsidR="00187751" w:rsidRPr="00187751">
              <w:rPr>
                <w:rFonts w:ascii="Arial" w:hAnsi="Arial" w:cs="Arial"/>
                <w:szCs w:val="22"/>
              </w:rPr>
              <w:t>.</w:t>
            </w:r>
            <w:r w:rsidRPr="00187751">
              <w:rPr>
                <w:rFonts w:ascii="Arial" w:hAnsi="Arial" w:cs="Arial"/>
                <w:szCs w:val="22"/>
              </w:rPr>
              <w:t xml:space="preserve"> Za významný považujeme fakt formálního konstituování vědeckých týmů především v</w:t>
            </w:r>
            <w:r w:rsidR="00187751" w:rsidRPr="00187751">
              <w:rPr>
                <w:rFonts w:ascii="Arial" w:hAnsi="Arial" w:cs="Arial"/>
                <w:szCs w:val="22"/>
              </w:rPr>
              <w:t> </w:t>
            </w:r>
            <w:r w:rsidRPr="00187751">
              <w:rPr>
                <w:rFonts w:ascii="Arial" w:hAnsi="Arial" w:cs="Arial"/>
                <w:szCs w:val="22"/>
              </w:rPr>
              <w:t>onkologii</w:t>
            </w:r>
            <w:r w:rsidR="00187751" w:rsidRPr="00187751">
              <w:rPr>
                <w:rFonts w:ascii="Arial" w:hAnsi="Arial" w:cs="Arial"/>
                <w:szCs w:val="22"/>
              </w:rPr>
              <w:t>,</w:t>
            </w:r>
            <w:r w:rsidRPr="00187751">
              <w:rPr>
                <w:rFonts w:ascii="Arial" w:hAnsi="Arial" w:cs="Arial"/>
                <w:szCs w:val="22"/>
              </w:rPr>
              <w:t xml:space="preserve"> s jasnými cíli, postupy i odpovědnostmi.</w:t>
            </w:r>
            <w:r w:rsidR="00AA0BF4" w:rsidRPr="00187751">
              <w:rPr>
                <w:rFonts w:ascii="Arial" w:hAnsi="Arial" w:cs="Arial"/>
                <w:szCs w:val="22"/>
              </w:rPr>
              <w:t xml:space="preserve"> V týmech nejsou zahraniční pracovníci. </w:t>
            </w:r>
          </w:p>
          <w:p w14:paraId="1B6A9369" w14:textId="17DE3DC3" w:rsidR="0014043A" w:rsidRPr="00187751" w:rsidRDefault="0014043A" w:rsidP="00187751">
            <w:pPr>
              <w:shd w:val="clear" w:color="auto" w:fill="FFFFFF"/>
              <w:jc w:val="both"/>
              <w:rPr>
                <w:rFonts w:ascii="Arial" w:hAnsi="Arial" w:cs="Arial"/>
                <w:szCs w:val="22"/>
              </w:rPr>
            </w:pPr>
            <w:r w:rsidRPr="00187751">
              <w:rPr>
                <w:rFonts w:ascii="Arial" w:hAnsi="Arial" w:cs="Arial"/>
                <w:szCs w:val="22"/>
              </w:rPr>
              <w:t>Při financování měla FN Plzeň celkem 5 893 000 Kč z veřejných zdrojů, z DKRVO 25 223 000 Kč</w:t>
            </w:r>
            <w:r w:rsidR="00187751" w:rsidRPr="00187751">
              <w:rPr>
                <w:rFonts w:ascii="Arial" w:hAnsi="Arial" w:cs="Arial"/>
                <w:szCs w:val="22"/>
              </w:rPr>
              <w:t xml:space="preserve"> </w:t>
            </w:r>
            <w:r w:rsidRPr="00187751">
              <w:rPr>
                <w:rFonts w:ascii="Arial" w:hAnsi="Arial" w:cs="Arial"/>
                <w:szCs w:val="22"/>
              </w:rPr>
              <w:t>(81</w:t>
            </w:r>
            <w:r w:rsidR="00187751" w:rsidRPr="00187751">
              <w:rPr>
                <w:rFonts w:ascii="Arial" w:hAnsi="Arial" w:cs="Arial"/>
                <w:szCs w:val="22"/>
              </w:rPr>
              <w:t xml:space="preserve"> </w:t>
            </w:r>
            <w:r w:rsidRPr="00187751">
              <w:rPr>
                <w:rFonts w:ascii="Arial" w:hAnsi="Arial" w:cs="Arial"/>
                <w:szCs w:val="22"/>
              </w:rPr>
              <w:t>% všech příjmů na VaV</w:t>
            </w:r>
            <w:r w:rsidR="00AA0BF4" w:rsidRPr="00187751">
              <w:rPr>
                <w:rFonts w:ascii="Arial" w:hAnsi="Arial" w:cs="Arial"/>
                <w:szCs w:val="22"/>
              </w:rPr>
              <w:t xml:space="preserve">). Využití prostředků </w:t>
            </w:r>
            <w:r w:rsidR="00F96951" w:rsidRPr="00187751">
              <w:rPr>
                <w:rFonts w:ascii="Arial" w:hAnsi="Arial" w:cs="Arial"/>
                <w:szCs w:val="22"/>
              </w:rPr>
              <w:t>ze za</w:t>
            </w:r>
            <w:r w:rsidRPr="00187751">
              <w:rPr>
                <w:rFonts w:ascii="Arial" w:hAnsi="Arial" w:cs="Arial"/>
                <w:szCs w:val="22"/>
              </w:rPr>
              <w:t>hraničn</w:t>
            </w:r>
            <w:r w:rsidR="00F96951" w:rsidRPr="00187751">
              <w:rPr>
                <w:rFonts w:ascii="Arial" w:hAnsi="Arial" w:cs="Arial"/>
                <w:szCs w:val="22"/>
              </w:rPr>
              <w:t xml:space="preserve">ích </w:t>
            </w:r>
            <w:r w:rsidRPr="00187751">
              <w:rPr>
                <w:rFonts w:ascii="Arial" w:hAnsi="Arial" w:cs="Arial"/>
                <w:szCs w:val="22"/>
              </w:rPr>
              <w:t>zdroj</w:t>
            </w:r>
            <w:r w:rsidR="00F96951" w:rsidRPr="00187751">
              <w:rPr>
                <w:rFonts w:ascii="Arial" w:hAnsi="Arial" w:cs="Arial"/>
                <w:szCs w:val="22"/>
              </w:rPr>
              <w:t>ů</w:t>
            </w:r>
            <w:r w:rsidRPr="00187751">
              <w:rPr>
                <w:rFonts w:ascii="Arial" w:hAnsi="Arial" w:cs="Arial"/>
                <w:szCs w:val="22"/>
              </w:rPr>
              <w:t xml:space="preserve"> materiál neuvádí.</w:t>
            </w:r>
            <w:r w:rsidR="00AA0BF4" w:rsidRPr="00187751">
              <w:rPr>
                <w:rFonts w:ascii="Arial" w:hAnsi="Arial" w:cs="Arial"/>
                <w:szCs w:val="22"/>
              </w:rPr>
              <w:t xml:space="preserve"> Využití prostředků na </w:t>
            </w:r>
            <w:proofErr w:type="gramStart"/>
            <w:r w:rsidR="00AA0BF4" w:rsidRPr="00187751">
              <w:rPr>
                <w:rFonts w:ascii="Arial" w:hAnsi="Arial" w:cs="Arial"/>
                <w:szCs w:val="22"/>
              </w:rPr>
              <w:t>DRVO -</w:t>
            </w:r>
            <w:r w:rsidR="00187751" w:rsidRPr="00187751">
              <w:rPr>
                <w:rFonts w:ascii="Arial" w:hAnsi="Arial" w:cs="Arial"/>
                <w:szCs w:val="22"/>
              </w:rPr>
              <w:t xml:space="preserve"> </w:t>
            </w:r>
            <w:r w:rsidR="00AA0BF4" w:rsidRPr="00187751">
              <w:rPr>
                <w:rFonts w:ascii="Arial" w:hAnsi="Arial" w:cs="Arial"/>
                <w:szCs w:val="22"/>
              </w:rPr>
              <w:t>největší</w:t>
            </w:r>
            <w:proofErr w:type="gramEnd"/>
            <w:r w:rsidR="00AA0BF4" w:rsidRPr="00187751">
              <w:rPr>
                <w:rFonts w:ascii="Arial" w:hAnsi="Arial" w:cs="Arial"/>
                <w:szCs w:val="22"/>
              </w:rPr>
              <w:t xml:space="preserve"> část byla použita na materiálové náklady. Investiční náklady tvořily jednu čtvrtinu přidělené dotace.</w:t>
            </w:r>
          </w:p>
          <w:p w14:paraId="62A5D57F" w14:textId="77777777" w:rsidR="00AA0BF4" w:rsidRPr="00187751" w:rsidRDefault="0014043A" w:rsidP="00187751">
            <w:pPr>
              <w:shd w:val="clear" w:color="auto" w:fill="FFFFFF"/>
              <w:jc w:val="both"/>
              <w:rPr>
                <w:rFonts w:ascii="Arial" w:hAnsi="Arial" w:cs="Arial"/>
                <w:szCs w:val="22"/>
              </w:rPr>
            </w:pPr>
            <w:r w:rsidRPr="00187751">
              <w:rPr>
                <w:rFonts w:ascii="Arial" w:hAnsi="Arial" w:cs="Arial"/>
                <w:szCs w:val="22"/>
              </w:rPr>
              <w:t>V roce 2023 byla provedena analýza odměňování může a žen pomocí nástroje a LOGIB. Krátkodobé i dlouhodobé mobility byly uskutečněné. Etický kodex byl již doplněn. Také byla doplněna směrnice, která popisuje logistiku a zajištění institucionálního výzkumu napříč FN.</w:t>
            </w:r>
          </w:p>
          <w:p w14:paraId="0EFC4560" w14:textId="6A4605FA" w:rsidR="0014043A" w:rsidRPr="00187751" w:rsidRDefault="0014043A" w:rsidP="00187751">
            <w:pPr>
              <w:shd w:val="clear" w:color="auto" w:fill="FFFFFF"/>
              <w:jc w:val="both"/>
              <w:rPr>
                <w:rFonts w:ascii="Arial" w:hAnsi="Arial" w:cs="Arial"/>
                <w:szCs w:val="22"/>
              </w:rPr>
            </w:pPr>
            <w:r w:rsidRPr="00187751">
              <w:rPr>
                <w:rFonts w:ascii="Arial" w:hAnsi="Arial" w:cs="Arial"/>
                <w:szCs w:val="22"/>
              </w:rPr>
              <w:t>V materiálu</w:t>
            </w:r>
            <w:r w:rsidR="00AA0BF4" w:rsidRPr="00187751">
              <w:rPr>
                <w:rFonts w:ascii="Arial" w:hAnsi="Arial" w:cs="Arial"/>
                <w:szCs w:val="22"/>
              </w:rPr>
              <w:t xml:space="preserve"> j</w:t>
            </w:r>
            <w:r w:rsidR="006C6A85">
              <w:rPr>
                <w:rFonts w:ascii="Arial" w:hAnsi="Arial" w:cs="Arial"/>
                <w:szCs w:val="22"/>
              </w:rPr>
              <w:t>sm</w:t>
            </w:r>
            <w:r w:rsidR="00AA0BF4" w:rsidRPr="00187751">
              <w:rPr>
                <w:rFonts w:ascii="Arial" w:hAnsi="Arial" w:cs="Arial"/>
                <w:szCs w:val="22"/>
              </w:rPr>
              <w:t xml:space="preserve">e </w:t>
            </w:r>
            <w:r w:rsidRPr="00187751">
              <w:rPr>
                <w:rFonts w:ascii="Arial" w:hAnsi="Arial" w:cs="Arial"/>
                <w:szCs w:val="22"/>
              </w:rPr>
              <w:t>naš</w:t>
            </w:r>
            <w:r w:rsidR="00AA0BF4" w:rsidRPr="00187751">
              <w:rPr>
                <w:rFonts w:ascii="Arial" w:hAnsi="Arial" w:cs="Arial"/>
                <w:szCs w:val="22"/>
              </w:rPr>
              <w:t xml:space="preserve">li </w:t>
            </w:r>
            <w:r w:rsidRPr="00187751">
              <w:rPr>
                <w:rFonts w:ascii="Arial" w:hAnsi="Arial" w:cs="Arial"/>
                <w:szCs w:val="22"/>
              </w:rPr>
              <w:t>zmínku o centrálním pracovišti výzkumu, ne</w:t>
            </w:r>
            <w:r w:rsidR="00AA0BF4" w:rsidRPr="00187751">
              <w:rPr>
                <w:rFonts w:ascii="Arial" w:hAnsi="Arial" w:cs="Arial"/>
                <w:szCs w:val="22"/>
              </w:rPr>
              <w:t xml:space="preserve">uvedena  </w:t>
            </w:r>
            <w:r w:rsidRPr="00187751">
              <w:rPr>
                <w:rFonts w:ascii="Arial" w:hAnsi="Arial" w:cs="Arial"/>
                <w:szCs w:val="22"/>
              </w:rPr>
              <w:t xml:space="preserve"> však v organizačním schématu FN.</w:t>
            </w:r>
          </w:p>
          <w:p w14:paraId="7EFE3E5A" w14:textId="77777777" w:rsidR="0014043A" w:rsidRPr="006C6A85" w:rsidRDefault="0014043A" w:rsidP="00187751">
            <w:pPr>
              <w:shd w:val="clear" w:color="auto" w:fill="FFFFFF"/>
              <w:jc w:val="both"/>
              <w:rPr>
                <w:rFonts w:ascii="Arial" w:hAnsi="Arial" w:cs="Arial"/>
                <w:szCs w:val="22"/>
              </w:rPr>
            </w:pPr>
            <w:r w:rsidRPr="00187751">
              <w:rPr>
                <w:rFonts w:ascii="Arial" w:hAnsi="Arial" w:cs="Arial"/>
                <w:szCs w:val="22"/>
              </w:rPr>
              <w:t xml:space="preserve"> Při řešení výzkumu spolupracuje </w:t>
            </w:r>
            <w:r w:rsidR="00AA0BF4" w:rsidRPr="00187751">
              <w:rPr>
                <w:rFonts w:ascii="Arial" w:hAnsi="Arial" w:cs="Arial"/>
                <w:szCs w:val="22"/>
              </w:rPr>
              <w:t xml:space="preserve">LF UK v Plzni, s </w:t>
            </w:r>
            <w:r w:rsidRPr="00187751">
              <w:rPr>
                <w:rFonts w:ascii="Arial" w:hAnsi="Arial" w:cs="Arial"/>
                <w:szCs w:val="22"/>
              </w:rPr>
              <w:t>dalšími univerzitními pracovišti a s pracovníky ústavů AV</w:t>
            </w:r>
            <w:r w:rsidRPr="006C6A85">
              <w:rPr>
                <w:rFonts w:ascii="Arial" w:hAnsi="Arial" w:cs="Arial"/>
                <w:szCs w:val="22"/>
              </w:rPr>
              <w:t xml:space="preserve"> ČR.</w:t>
            </w:r>
          </w:p>
          <w:p w14:paraId="7AAAF1A9" w14:textId="77777777" w:rsidR="0014043A" w:rsidRDefault="0014043A" w:rsidP="00B62339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B62339" w:rsidRPr="00143C96" w14:paraId="53C4E384" w14:textId="77777777" w:rsidTr="00F86DD2">
        <w:trPr>
          <w:trHeight w:val="255"/>
          <w:jc w:val="center"/>
        </w:trPr>
        <w:tc>
          <w:tcPr>
            <w:tcW w:w="2623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B975E8D" w14:textId="77777777" w:rsidR="00B62339" w:rsidRPr="00DB5CDA" w:rsidRDefault="00B62339" w:rsidP="00B62339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Modul 5 Strategie a koncepce B</w:t>
            </w:r>
          </w:p>
        </w:tc>
        <w:tc>
          <w:tcPr>
            <w:tcW w:w="7157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0ED71B1" w14:textId="3A1DC4FF" w:rsidR="00B62339" w:rsidRDefault="00B62339" w:rsidP="007D7F3E">
            <w:pPr>
              <w:pBdr>
                <w:bottom w:val="single" w:sz="6" w:space="1" w:color="auto"/>
              </w:pBdr>
              <w:shd w:val="clear" w:color="auto" w:fill="FFFFFF"/>
              <w:rPr>
                <w:rFonts w:ascii="Arial" w:hAnsi="Arial" w:cs="Arial"/>
                <w:szCs w:val="22"/>
              </w:rPr>
            </w:pPr>
          </w:p>
          <w:p w14:paraId="602F9719" w14:textId="77777777" w:rsidR="00AA0BF4" w:rsidRDefault="00AA0BF4" w:rsidP="007D7F3E">
            <w:pPr>
              <w:pBdr>
                <w:bottom w:val="single" w:sz="6" w:space="1" w:color="auto"/>
              </w:pBdr>
              <w:shd w:val="clear" w:color="auto" w:fill="FFFFFF"/>
              <w:rPr>
                <w:rFonts w:ascii="Arial" w:hAnsi="Arial" w:cs="Arial"/>
                <w:color w:val="000000"/>
                <w:szCs w:val="22"/>
              </w:rPr>
            </w:pPr>
          </w:p>
          <w:p w14:paraId="1CC48768" w14:textId="1B604866" w:rsidR="00B01E74" w:rsidRPr="006C6A85" w:rsidRDefault="00AA0BF4" w:rsidP="006C6A85">
            <w:pPr>
              <w:pBdr>
                <w:bottom w:val="single" w:sz="6" w:space="1" w:color="auto"/>
              </w:pBdr>
              <w:shd w:val="clear" w:color="auto" w:fill="FFFFFF"/>
              <w:jc w:val="both"/>
              <w:rPr>
                <w:rFonts w:ascii="Arial" w:hAnsi="Arial" w:cs="Arial"/>
                <w:szCs w:val="22"/>
              </w:rPr>
            </w:pPr>
            <w:r w:rsidRPr="006C6A85">
              <w:rPr>
                <w:rFonts w:ascii="Arial" w:hAnsi="Arial" w:cs="Arial"/>
                <w:szCs w:val="22"/>
              </w:rPr>
              <w:t>Průběžné hod</w:t>
            </w:r>
            <w:r w:rsidR="006C6A85" w:rsidRPr="006C6A85">
              <w:rPr>
                <w:rFonts w:ascii="Arial" w:hAnsi="Arial" w:cs="Arial"/>
                <w:szCs w:val="22"/>
              </w:rPr>
              <w:t>n</w:t>
            </w:r>
            <w:r w:rsidRPr="006C6A85">
              <w:rPr>
                <w:rFonts w:ascii="Arial" w:hAnsi="Arial" w:cs="Arial"/>
                <w:szCs w:val="22"/>
              </w:rPr>
              <w:t>ocení VO za rok 2023 –</w:t>
            </w:r>
            <w:r w:rsidR="00F96951" w:rsidRPr="006C6A85">
              <w:rPr>
                <w:rFonts w:ascii="Arial" w:hAnsi="Arial" w:cs="Arial"/>
                <w:szCs w:val="22"/>
              </w:rPr>
              <w:t xml:space="preserve"> Modul 5</w:t>
            </w:r>
          </w:p>
          <w:p w14:paraId="3A8B54C8" w14:textId="231B4E5E" w:rsidR="00B01E74" w:rsidRPr="006C6A85" w:rsidRDefault="00AA0BF4" w:rsidP="006C6A85">
            <w:pPr>
              <w:shd w:val="clear" w:color="auto" w:fill="FFFFFF"/>
              <w:jc w:val="both"/>
              <w:rPr>
                <w:rFonts w:ascii="Arial" w:hAnsi="Arial" w:cs="Arial"/>
                <w:szCs w:val="22"/>
              </w:rPr>
            </w:pPr>
            <w:r w:rsidRPr="006C6A85">
              <w:rPr>
                <w:rFonts w:ascii="Arial" w:hAnsi="Arial" w:cs="Arial"/>
                <w:szCs w:val="22"/>
              </w:rPr>
              <w:t xml:space="preserve"> FN Plzeň má vypracovanou obecnou koncepci, misi a vizi v oblasti lékařských věd a zdravotnického VaVaI v deseti oblastech medicíny </w:t>
            </w:r>
            <w:r w:rsidRPr="006C6A85">
              <w:rPr>
                <w:rFonts w:ascii="Arial" w:hAnsi="Arial" w:cs="Arial"/>
                <w:szCs w:val="22"/>
              </w:rPr>
              <w:lastRenderedPageBreak/>
              <w:t>s rozpracováním do dílčích cílů, které průběžně hodnotí</w:t>
            </w:r>
            <w:r w:rsidR="00B01E74" w:rsidRPr="006C6A85">
              <w:rPr>
                <w:rFonts w:ascii="Arial" w:hAnsi="Arial" w:cs="Arial"/>
                <w:szCs w:val="22"/>
              </w:rPr>
              <w:t>. V roce 2023 byly naplněny strategie a koncepce představené v hodnotícím období.</w:t>
            </w:r>
          </w:p>
          <w:p w14:paraId="0E4058BF" w14:textId="77777777" w:rsidR="00AA0BF4" w:rsidRPr="006C6A85" w:rsidRDefault="00AA0BF4" w:rsidP="006C6A85">
            <w:pPr>
              <w:pBdr>
                <w:bottom w:val="single" w:sz="6" w:space="1" w:color="auto"/>
              </w:pBdr>
              <w:shd w:val="clear" w:color="auto" w:fill="FFFFFF"/>
              <w:jc w:val="both"/>
              <w:rPr>
                <w:rFonts w:ascii="Arial" w:hAnsi="Arial" w:cs="Arial"/>
                <w:szCs w:val="22"/>
              </w:rPr>
            </w:pPr>
            <w:r w:rsidRPr="006C6A85">
              <w:rPr>
                <w:rFonts w:ascii="Arial" w:hAnsi="Arial" w:cs="Arial"/>
                <w:szCs w:val="22"/>
              </w:rPr>
              <w:t xml:space="preserve"> </w:t>
            </w:r>
          </w:p>
          <w:p w14:paraId="559953EE" w14:textId="77777777" w:rsidR="007D7F3E" w:rsidRPr="006C6A85" w:rsidRDefault="00B01E74" w:rsidP="006C6A85">
            <w:pPr>
              <w:pBdr>
                <w:bottom w:val="single" w:sz="6" w:space="1" w:color="auto"/>
              </w:pBdr>
              <w:shd w:val="clear" w:color="auto" w:fill="FFFFFF"/>
              <w:jc w:val="both"/>
              <w:rPr>
                <w:rFonts w:ascii="Arial" w:hAnsi="Arial" w:cs="Arial"/>
                <w:szCs w:val="22"/>
              </w:rPr>
            </w:pPr>
            <w:r w:rsidRPr="006C6A85">
              <w:rPr>
                <w:rFonts w:ascii="Arial" w:hAnsi="Arial" w:cs="Arial"/>
                <w:szCs w:val="22"/>
              </w:rPr>
              <w:t>Závěr průběžného hodnocení VO za rok 2023</w:t>
            </w:r>
          </w:p>
          <w:p w14:paraId="7635A24E" w14:textId="4A8CBD0B" w:rsidR="00F96951" w:rsidRPr="006C6A85" w:rsidRDefault="00B01E74" w:rsidP="006C6A85">
            <w:pPr>
              <w:shd w:val="clear" w:color="auto" w:fill="FFFFFF"/>
              <w:jc w:val="both"/>
              <w:rPr>
                <w:rFonts w:ascii="Arial" w:hAnsi="Arial" w:cs="Arial"/>
                <w:szCs w:val="22"/>
              </w:rPr>
            </w:pPr>
            <w:r w:rsidRPr="006C6A85">
              <w:rPr>
                <w:rFonts w:ascii="Arial" w:hAnsi="Arial" w:cs="Arial"/>
                <w:szCs w:val="22"/>
              </w:rPr>
              <w:t xml:space="preserve">Situace v oblasti financování i výzkumné praxe se ve FN Plzeň významně nezměnila. Je možné však vidět </w:t>
            </w:r>
            <w:r w:rsidR="001F5C2F" w:rsidRPr="006C6A85">
              <w:rPr>
                <w:rFonts w:ascii="Arial" w:hAnsi="Arial" w:cs="Arial"/>
                <w:szCs w:val="22"/>
              </w:rPr>
              <w:t xml:space="preserve">důraz na </w:t>
            </w:r>
            <w:r w:rsidR="00F96951" w:rsidRPr="006C6A85">
              <w:rPr>
                <w:rFonts w:ascii="Arial" w:hAnsi="Arial" w:cs="Arial"/>
                <w:szCs w:val="22"/>
              </w:rPr>
              <w:t>výzkumn</w:t>
            </w:r>
            <w:r w:rsidR="001F5C2F" w:rsidRPr="006C6A85">
              <w:rPr>
                <w:rFonts w:ascii="Arial" w:hAnsi="Arial" w:cs="Arial"/>
                <w:szCs w:val="22"/>
              </w:rPr>
              <w:t xml:space="preserve">ou </w:t>
            </w:r>
            <w:r w:rsidR="00F96951" w:rsidRPr="006C6A85">
              <w:rPr>
                <w:rFonts w:ascii="Arial" w:hAnsi="Arial" w:cs="Arial"/>
                <w:szCs w:val="22"/>
              </w:rPr>
              <w:t>produkc</w:t>
            </w:r>
            <w:r w:rsidR="001F5C2F" w:rsidRPr="006C6A85">
              <w:rPr>
                <w:rFonts w:ascii="Arial" w:hAnsi="Arial" w:cs="Arial"/>
                <w:szCs w:val="22"/>
              </w:rPr>
              <w:t>i</w:t>
            </w:r>
            <w:r w:rsidR="00F96951" w:rsidRPr="006C6A85">
              <w:rPr>
                <w:rFonts w:ascii="Arial" w:hAnsi="Arial" w:cs="Arial"/>
                <w:szCs w:val="22"/>
              </w:rPr>
              <w:t>, tak snahu jasněji definovat výzkumné týmy, odpovědnosti a role jednotlivých pracovníků v nich. FN Plzeň kontinuálně zlepšuje rozvoj vědeckých kapacit, má jasně vypracovanou koncepci, misi a vizi v oblasti lékařských věd a zdravotnického programu VVaI</w:t>
            </w:r>
            <w:r w:rsidR="001F5C2F" w:rsidRPr="006C6A85">
              <w:rPr>
                <w:rFonts w:ascii="Arial" w:hAnsi="Arial" w:cs="Arial"/>
                <w:szCs w:val="22"/>
              </w:rPr>
              <w:t>.</w:t>
            </w:r>
            <w:r w:rsidR="00F96951" w:rsidRPr="006C6A85">
              <w:rPr>
                <w:rFonts w:ascii="Arial" w:hAnsi="Arial" w:cs="Arial"/>
                <w:szCs w:val="22"/>
              </w:rPr>
              <w:t xml:space="preserve"> </w:t>
            </w:r>
            <w:r w:rsidR="001F5C2F" w:rsidRPr="006C6A85">
              <w:rPr>
                <w:rFonts w:ascii="Arial" w:hAnsi="Arial" w:cs="Arial"/>
                <w:szCs w:val="22"/>
              </w:rPr>
              <w:t xml:space="preserve"> </w:t>
            </w:r>
            <w:r w:rsidR="00F96951" w:rsidRPr="006C6A85">
              <w:rPr>
                <w:rFonts w:ascii="Arial" w:hAnsi="Arial" w:cs="Arial"/>
                <w:szCs w:val="22"/>
              </w:rPr>
              <w:t xml:space="preserve">Ty převážně rezonují s onkologickými obory, které jsou ve FN Plzeň na </w:t>
            </w:r>
            <w:r w:rsidR="001F5C2F" w:rsidRPr="006C6A85">
              <w:rPr>
                <w:rFonts w:ascii="Arial" w:hAnsi="Arial" w:cs="Arial"/>
                <w:szCs w:val="22"/>
              </w:rPr>
              <w:t xml:space="preserve">velmi kvalitní </w:t>
            </w:r>
            <w:r w:rsidR="00F96951" w:rsidRPr="006C6A85">
              <w:rPr>
                <w:rFonts w:ascii="Arial" w:hAnsi="Arial" w:cs="Arial"/>
                <w:szCs w:val="22"/>
              </w:rPr>
              <w:t xml:space="preserve">klinické úrovni pěstovány. Je </w:t>
            </w:r>
            <w:r w:rsidR="001F5C2F" w:rsidRPr="006C6A85">
              <w:rPr>
                <w:rFonts w:ascii="Arial" w:hAnsi="Arial" w:cs="Arial"/>
                <w:szCs w:val="22"/>
              </w:rPr>
              <w:t xml:space="preserve">také </w:t>
            </w:r>
            <w:r w:rsidR="00F96951" w:rsidRPr="006C6A85">
              <w:rPr>
                <w:rFonts w:ascii="Arial" w:hAnsi="Arial" w:cs="Arial"/>
                <w:szCs w:val="22"/>
              </w:rPr>
              <w:t>zřetelná návaznost na národní strategické dokumenty. Dílčí cíle jsou ve FN Plzeň hodnoceny</w:t>
            </w:r>
            <w:r w:rsidR="001F5C2F" w:rsidRPr="006C6A85">
              <w:rPr>
                <w:rFonts w:ascii="Arial" w:hAnsi="Arial" w:cs="Arial"/>
                <w:szCs w:val="22"/>
              </w:rPr>
              <w:t xml:space="preserve">. </w:t>
            </w:r>
            <w:r w:rsidR="00F96951" w:rsidRPr="006C6A85">
              <w:rPr>
                <w:rFonts w:ascii="Arial" w:hAnsi="Arial" w:cs="Arial"/>
                <w:szCs w:val="22"/>
              </w:rPr>
              <w:t xml:space="preserve">Fakt že se budoucí výzkum </w:t>
            </w:r>
            <w:proofErr w:type="gramStart"/>
            <w:r w:rsidR="00F96951" w:rsidRPr="006C6A85">
              <w:rPr>
                <w:rFonts w:ascii="Arial" w:hAnsi="Arial" w:cs="Arial"/>
                <w:szCs w:val="22"/>
              </w:rPr>
              <w:t>zaměří</w:t>
            </w:r>
            <w:proofErr w:type="gramEnd"/>
            <w:r w:rsidR="00F96951" w:rsidRPr="006C6A85">
              <w:rPr>
                <w:rFonts w:ascii="Arial" w:hAnsi="Arial" w:cs="Arial"/>
                <w:szCs w:val="22"/>
              </w:rPr>
              <w:t xml:space="preserve"> více problematiku onkologie </w:t>
            </w:r>
            <w:r w:rsidR="001F5C2F" w:rsidRPr="006C6A85">
              <w:rPr>
                <w:rFonts w:ascii="Arial" w:hAnsi="Arial" w:cs="Arial"/>
                <w:szCs w:val="22"/>
              </w:rPr>
              <w:t xml:space="preserve">je možné považovat </w:t>
            </w:r>
            <w:r w:rsidR="00F96951" w:rsidRPr="006C6A85">
              <w:rPr>
                <w:rFonts w:ascii="Arial" w:hAnsi="Arial" w:cs="Arial"/>
                <w:szCs w:val="22"/>
              </w:rPr>
              <w:t>za strategickou výhodu.</w:t>
            </w:r>
          </w:p>
          <w:p w14:paraId="02A08A2B" w14:textId="42AAA0B7" w:rsidR="00B01E74" w:rsidRPr="006C6A85" w:rsidRDefault="00B01E74" w:rsidP="006C6A85">
            <w:pPr>
              <w:pBdr>
                <w:bottom w:val="single" w:sz="6" w:space="1" w:color="auto"/>
              </w:pBdr>
              <w:shd w:val="clear" w:color="auto" w:fill="FFFFFF"/>
              <w:jc w:val="both"/>
              <w:rPr>
                <w:rFonts w:ascii="Arial" w:hAnsi="Arial" w:cs="Arial"/>
                <w:szCs w:val="22"/>
              </w:rPr>
            </w:pPr>
            <w:r w:rsidRPr="006C6A85">
              <w:rPr>
                <w:rFonts w:ascii="Arial" w:hAnsi="Arial" w:cs="Arial"/>
                <w:szCs w:val="22"/>
              </w:rPr>
              <w:t xml:space="preserve"> </w:t>
            </w:r>
            <w:r w:rsidR="00F96951" w:rsidRPr="006C6A85">
              <w:rPr>
                <w:rFonts w:ascii="Arial" w:hAnsi="Arial" w:cs="Arial"/>
                <w:szCs w:val="22"/>
              </w:rPr>
              <w:t xml:space="preserve">Celkově k významným změnám </w:t>
            </w:r>
            <w:r w:rsidR="001F5C2F" w:rsidRPr="006C6A85">
              <w:rPr>
                <w:rFonts w:ascii="Arial" w:hAnsi="Arial" w:cs="Arial"/>
                <w:szCs w:val="22"/>
              </w:rPr>
              <w:t xml:space="preserve">zatím nedošlo, je však zřetelná snaha </w:t>
            </w:r>
            <w:r w:rsidR="006C6A85" w:rsidRPr="006C6A85">
              <w:rPr>
                <w:rFonts w:ascii="Arial" w:hAnsi="Arial" w:cs="Arial"/>
                <w:szCs w:val="22"/>
              </w:rPr>
              <w:br/>
            </w:r>
            <w:r w:rsidR="001F5C2F" w:rsidRPr="006C6A85">
              <w:rPr>
                <w:rFonts w:ascii="Arial" w:hAnsi="Arial" w:cs="Arial"/>
                <w:szCs w:val="22"/>
              </w:rPr>
              <w:t>o pozitivní posun. H</w:t>
            </w:r>
            <w:r w:rsidR="00F96951" w:rsidRPr="006C6A85">
              <w:rPr>
                <w:rFonts w:ascii="Arial" w:hAnsi="Arial" w:cs="Arial"/>
                <w:szCs w:val="22"/>
              </w:rPr>
              <w:t>odnocení odpovídá původnímu škálování,</w:t>
            </w:r>
          </w:p>
          <w:p w14:paraId="63E14299" w14:textId="77777777" w:rsidR="00F96951" w:rsidRPr="007D7F3E" w:rsidRDefault="00F96951" w:rsidP="006C6A85">
            <w:pPr>
              <w:pBdr>
                <w:bottom w:val="single" w:sz="6" w:space="1" w:color="auto"/>
              </w:pBdr>
              <w:shd w:val="clear" w:color="auto" w:fill="FFFFFF"/>
              <w:jc w:val="both"/>
              <w:rPr>
                <w:rFonts w:ascii="Arial" w:hAnsi="Arial" w:cs="Arial"/>
                <w:color w:val="000000"/>
                <w:szCs w:val="22"/>
              </w:rPr>
            </w:pPr>
            <w:proofErr w:type="gramStart"/>
            <w:r w:rsidRPr="006C6A85">
              <w:rPr>
                <w:rFonts w:ascii="Arial" w:hAnsi="Arial" w:cs="Arial"/>
                <w:szCs w:val="22"/>
              </w:rPr>
              <w:t>Hodnocení - C</w:t>
            </w:r>
            <w:proofErr w:type="gramEnd"/>
          </w:p>
        </w:tc>
      </w:tr>
      <w:tr w:rsidR="00B62339" w:rsidRPr="001F0B21" w14:paraId="4738EB67" w14:textId="77777777" w:rsidTr="00F86DD2">
        <w:trPr>
          <w:trHeight w:val="265"/>
          <w:jc w:val="center"/>
        </w:trPr>
        <w:tc>
          <w:tcPr>
            <w:tcW w:w="262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3591A11" w14:textId="77777777" w:rsidR="00B62339" w:rsidRPr="00DB5CDA" w:rsidRDefault="00B62339" w:rsidP="00B62339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7157" w:type="dxa"/>
            <w:gridSpan w:val="6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C49D338" w14:textId="77777777" w:rsidR="00B62339" w:rsidRPr="001F0B21" w:rsidRDefault="00B62339" w:rsidP="00B62339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</w:tc>
      </w:tr>
    </w:tbl>
    <w:p w14:paraId="6DABA302" w14:textId="77777777" w:rsidR="00936696" w:rsidRDefault="00936696"/>
    <w:p w14:paraId="6C9986B3" w14:textId="77777777" w:rsidR="00B62339" w:rsidRDefault="00B62339" w:rsidP="00B62339"/>
    <w:sectPr w:rsidR="00B623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1B0A67"/>
    <w:multiLevelType w:val="hybridMultilevel"/>
    <w:tmpl w:val="47BC56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0170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E83"/>
    <w:rsid w:val="000779AD"/>
    <w:rsid w:val="000E740D"/>
    <w:rsid w:val="0014043A"/>
    <w:rsid w:val="00187751"/>
    <w:rsid w:val="001F5C2F"/>
    <w:rsid w:val="00295451"/>
    <w:rsid w:val="002D55C6"/>
    <w:rsid w:val="0034701A"/>
    <w:rsid w:val="004829A8"/>
    <w:rsid w:val="004C4C60"/>
    <w:rsid w:val="00513413"/>
    <w:rsid w:val="00665AC2"/>
    <w:rsid w:val="006700BE"/>
    <w:rsid w:val="006801C3"/>
    <w:rsid w:val="006C6A85"/>
    <w:rsid w:val="00796777"/>
    <w:rsid w:val="007D7F3E"/>
    <w:rsid w:val="007F2720"/>
    <w:rsid w:val="00936696"/>
    <w:rsid w:val="009C7D43"/>
    <w:rsid w:val="009F2260"/>
    <w:rsid w:val="00A5660A"/>
    <w:rsid w:val="00AA0BF4"/>
    <w:rsid w:val="00AA27F4"/>
    <w:rsid w:val="00AA6158"/>
    <w:rsid w:val="00B01E74"/>
    <w:rsid w:val="00B62339"/>
    <w:rsid w:val="00BF482D"/>
    <w:rsid w:val="00C74AA3"/>
    <w:rsid w:val="00CB2E83"/>
    <w:rsid w:val="00D42CA8"/>
    <w:rsid w:val="00D76CAC"/>
    <w:rsid w:val="00D860E2"/>
    <w:rsid w:val="00EA2FAE"/>
    <w:rsid w:val="00F20B96"/>
    <w:rsid w:val="00F63A28"/>
    <w:rsid w:val="00F72F9C"/>
    <w:rsid w:val="00F86DD2"/>
    <w:rsid w:val="00F9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326C4"/>
  <w15:chartTrackingRefBased/>
  <w15:docId w15:val="{D03A9F43-BC4E-42E2-97D0-689905764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29A8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paragraph" w:styleId="Nadpis3">
    <w:name w:val="heading 3"/>
    <w:basedOn w:val="Normln"/>
    <w:link w:val="Nadpis3Char"/>
    <w:uiPriority w:val="9"/>
    <w:qFormat/>
    <w:rsid w:val="00AA0BF4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4829A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829A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29A8"/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4829A8"/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character" w:customStyle="1" w:styleId="Zkladntext">
    <w:name w:val="Základní text_"/>
    <w:basedOn w:val="Standardnpsmoodstavce"/>
    <w:link w:val="Zkladntext1"/>
    <w:rsid w:val="00B62339"/>
    <w:rPr>
      <w:rFonts w:ascii="Calibri" w:eastAsia="Calibri" w:hAnsi="Calibri" w:cs="Calibri"/>
    </w:rPr>
  </w:style>
  <w:style w:type="paragraph" w:customStyle="1" w:styleId="Zkladntext1">
    <w:name w:val="Základní text1"/>
    <w:basedOn w:val="Normln"/>
    <w:link w:val="Zkladntext"/>
    <w:rsid w:val="00B62339"/>
    <w:pPr>
      <w:widowControl w:val="0"/>
      <w:spacing w:after="320" w:line="271" w:lineRule="auto"/>
    </w:pPr>
    <w:rPr>
      <w:rFonts w:ascii="Calibri" w:eastAsia="Calibri" w:hAnsi="Calibri" w:cs="Calibri"/>
      <w:kern w:val="2"/>
      <w:szCs w:val="22"/>
      <w:lang w:eastAsia="en-US"/>
      <w14:ligatures w14:val="standardContextual"/>
    </w:rPr>
  </w:style>
  <w:style w:type="character" w:customStyle="1" w:styleId="Nadpis3Char">
    <w:name w:val="Nadpis 3 Char"/>
    <w:basedOn w:val="Standardnpsmoodstavce"/>
    <w:link w:val="Nadpis3"/>
    <w:uiPriority w:val="9"/>
    <w:rsid w:val="00AA0BF4"/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517</Words>
  <Characters>3052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Office365 deploy</Company>
  <LinksUpToDate>false</LinksUpToDate>
  <CharactersWithSpaces>3562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Hejnová Jana, Ing.</dc:creator>
  <cp:keywords/>
  <dc:description/>
  <cp:lastModifiedBy>Hejnová Jana, Ing.</cp:lastModifiedBy>
  <cp:revision>21</cp:revision>
  <dcterms:created xsi:type="dcterms:W3CDTF">2024-03-16T21:52:00Z</dcterms:created>
  <dcterms:modified xsi:type="dcterms:W3CDTF">2025-01-02T10:33:00Z</dcterms:modified>
</cp:coreProperties>
</file>